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4D" w:rsidRPr="00A824E4" w:rsidRDefault="00DF6F4D" w:rsidP="00DF6F4D">
      <w:pPr>
        <w:rPr>
          <w:b/>
          <w:bCs/>
          <w:sz w:val="28"/>
          <w:szCs w:val="28"/>
        </w:rPr>
      </w:pPr>
      <w:r w:rsidRPr="00A824E4">
        <w:rPr>
          <w:b/>
          <w:bCs/>
          <w:sz w:val="32"/>
          <w:szCs w:val="32"/>
        </w:rPr>
        <w:t xml:space="preserve">Acuut ontstane, </w:t>
      </w:r>
      <w:r w:rsidR="000876EF">
        <w:rPr>
          <w:b/>
          <w:bCs/>
          <w:sz w:val="32"/>
          <w:szCs w:val="32"/>
        </w:rPr>
        <w:t xml:space="preserve">de hele nacht </w:t>
      </w:r>
      <w:r w:rsidRPr="00A824E4">
        <w:rPr>
          <w:b/>
          <w:bCs/>
          <w:sz w:val="32"/>
          <w:szCs w:val="32"/>
        </w:rPr>
        <w:t xml:space="preserve">aanhoudende </w:t>
      </w:r>
      <w:proofErr w:type="spellStart"/>
      <w:r w:rsidRPr="00A824E4">
        <w:rPr>
          <w:b/>
          <w:bCs/>
          <w:sz w:val="32"/>
          <w:szCs w:val="32"/>
        </w:rPr>
        <w:t>inslaapmyoclonieën</w:t>
      </w:r>
      <w:proofErr w:type="spellEnd"/>
    </w:p>
    <w:p w:rsidR="00DF6F4D" w:rsidRPr="00076625" w:rsidRDefault="00DF6F4D" w:rsidP="00DF6F4D">
      <w:pPr>
        <w:spacing w:line="276" w:lineRule="auto"/>
        <w:rPr>
          <w:bCs/>
        </w:rPr>
      </w:pPr>
      <w:r w:rsidRPr="00076625">
        <w:rPr>
          <w:bCs/>
        </w:rPr>
        <w:t xml:space="preserve">Neurologische complicaties bij </w:t>
      </w:r>
      <w:proofErr w:type="spellStart"/>
      <w:r w:rsidRPr="00076625">
        <w:rPr>
          <w:bCs/>
        </w:rPr>
        <w:t>enterovirus</w:t>
      </w:r>
      <w:proofErr w:type="spellEnd"/>
      <w:r w:rsidRPr="00076625">
        <w:rPr>
          <w:bCs/>
        </w:rPr>
        <w:t xml:space="preserve"> A71 infectie</w:t>
      </w:r>
    </w:p>
    <w:p w:rsidR="00C107AE" w:rsidRDefault="00C107AE"/>
    <w:p w:rsidR="00B40EEC" w:rsidRDefault="00B40EEC">
      <w:r>
        <w:t>P</w:t>
      </w:r>
      <w:r w:rsidR="00114905">
        <w:t>.J.J.S.</w:t>
      </w:r>
      <w:r>
        <w:t xml:space="preserve"> P</w:t>
      </w:r>
      <w:r w:rsidR="00E572EA">
        <w:t>eters, AIOS</w:t>
      </w:r>
      <w:r>
        <w:t xml:space="preserve"> neurologie</w:t>
      </w:r>
      <w:r w:rsidR="00F90F18">
        <w:t>, MUMC+</w:t>
      </w:r>
    </w:p>
    <w:p w:rsidR="000E7799" w:rsidRDefault="000E7799">
      <w:r>
        <w:t>M</w:t>
      </w:r>
      <w:r w:rsidR="001E1025">
        <w:t>.</w:t>
      </w:r>
      <w:r>
        <w:t xml:space="preserve"> Wiersma</w:t>
      </w:r>
      <w:r w:rsidR="007E3C9F">
        <w:t xml:space="preserve">, </w:t>
      </w:r>
      <w:r w:rsidR="00114905">
        <w:t>AIOS neurologie</w:t>
      </w:r>
      <w:r w:rsidR="00F90F18">
        <w:t>,</w:t>
      </w:r>
      <w:r>
        <w:t xml:space="preserve"> </w:t>
      </w:r>
      <w:r w:rsidR="00F90F18">
        <w:t>MUMC+</w:t>
      </w:r>
    </w:p>
    <w:p w:rsidR="00F90F18" w:rsidRPr="001E1025" w:rsidRDefault="00F90F18" w:rsidP="00F90F18">
      <w:r w:rsidRPr="001E1025">
        <w:t xml:space="preserve">M.J.C.E. </w:t>
      </w:r>
      <w:r>
        <w:t xml:space="preserve">van </w:t>
      </w:r>
      <w:r w:rsidRPr="001E1025">
        <w:t>Helvoirt-Jansen</w:t>
      </w:r>
      <w:r>
        <w:t>, kinderarts, St Jans Gasthuis Weert</w:t>
      </w:r>
    </w:p>
    <w:p w:rsidR="001E1025" w:rsidRDefault="001E1025">
      <w:r>
        <w:t>Dr. M.L.F. Janssen, neuroloog en klinisch neurofysioloog</w:t>
      </w:r>
      <w:r w:rsidR="00F90F18">
        <w:t>, MUMC+</w:t>
      </w:r>
    </w:p>
    <w:p w:rsidR="001E1025" w:rsidRDefault="001E1025">
      <w:r>
        <w:t>Dr. J. Nicolai, kinderneuroloog</w:t>
      </w:r>
      <w:r w:rsidR="00F90F18">
        <w:t>,</w:t>
      </w:r>
      <w:r>
        <w:t xml:space="preserve"> </w:t>
      </w:r>
      <w:r w:rsidR="00F90F18">
        <w:t>MUMC +</w:t>
      </w:r>
    </w:p>
    <w:p w:rsidR="001E1025" w:rsidRDefault="001E1025"/>
    <w:p w:rsidR="002B34E4" w:rsidRPr="007B6D92" w:rsidRDefault="00ED58A9">
      <w:pPr>
        <w:rPr>
          <w:b/>
        </w:rPr>
      </w:pPr>
      <w:r w:rsidRPr="007B6D92">
        <w:rPr>
          <w:b/>
        </w:rPr>
        <w:t>Abstract</w:t>
      </w:r>
    </w:p>
    <w:p w:rsidR="00902530" w:rsidRDefault="002B34E4" w:rsidP="0007168A">
      <w:r>
        <w:t xml:space="preserve">Een vijfjarige jongen werd gezien op de </w:t>
      </w:r>
      <w:r w:rsidR="00F4229A">
        <w:t>SEH</w:t>
      </w:r>
      <w:r>
        <w:t xml:space="preserve"> </w:t>
      </w:r>
      <w:r w:rsidR="00ED58A9">
        <w:t>vanwege</w:t>
      </w:r>
      <w:r>
        <w:t xml:space="preserve"> braken, duizeligheid</w:t>
      </w:r>
      <w:r w:rsidR="009C32E7">
        <w:t xml:space="preserve"> </w:t>
      </w:r>
      <w:r>
        <w:t xml:space="preserve">en angst om te lopen. </w:t>
      </w:r>
      <w:r w:rsidR="00ED58A9">
        <w:t>Enkele dagen</w:t>
      </w:r>
      <w:r>
        <w:t xml:space="preserve"> hiervoor </w:t>
      </w:r>
      <w:r w:rsidR="009C32E7">
        <w:t>had hij</w:t>
      </w:r>
      <w:r>
        <w:t xml:space="preserve"> pijn in de mond gevolgd door koorts, hoofdpijn en vlekjes aan de handen</w:t>
      </w:r>
      <w:r w:rsidR="009C32E7">
        <w:t xml:space="preserve">, </w:t>
      </w:r>
      <w:r w:rsidR="0007168A">
        <w:t>w</w:t>
      </w:r>
      <w:r w:rsidR="00902530">
        <w:t>aarop de diagnose hand-voet-mond ziekte is gesteld</w:t>
      </w:r>
      <w:r w:rsidR="0007168A">
        <w:t>.</w:t>
      </w:r>
    </w:p>
    <w:p w:rsidR="009C32E7" w:rsidRDefault="009C32E7" w:rsidP="002B34E4"/>
    <w:p w:rsidR="002B34E4" w:rsidRDefault="009C32E7" w:rsidP="002B34E4">
      <w:r>
        <w:t>Wij zagen</w:t>
      </w:r>
      <w:r w:rsidR="002B34E4">
        <w:t xml:space="preserve"> een niet</w:t>
      </w:r>
      <w:r w:rsidR="00ED58A9">
        <w:t>-</w:t>
      </w:r>
      <w:r w:rsidR="002B34E4">
        <w:t>zieke jongen met een temperatuur van 38</w:t>
      </w:r>
      <w:r>
        <w:t>,</w:t>
      </w:r>
      <w:r w:rsidR="002B34E4">
        <w:t>0 graden</w:t>
      </w:r>
      <w:r w:rsidR="00B40EEC">
        <w:t>.</w:t>
      </w:r>
      <w:r w:rsidR="002B34E4">
        <w:t xml:space="preserve"> Bij neurologisch onderzoek was </w:t>
      </w:r>
      <w:r w:rsidR="00F4229A">
        <w:t xml:space="preserve">hij </w:t>
      </w:r>
      <w:proofErr w:type="spellStart"/>
      <w:r w:rsidR="00F4229A">
        <w:t>nekstijf</w:t>
      </w:r>
      <w:proofErr w:type="spellEnd"/>
      <w:r w:rsidR="00F4229A">
        <w:t xml:space="preserve"> </w:t>
      </w:r>
      <w:r w:rsidR="00902530">
        <w:t>en</w:t>
      </w:r>
      <w:r w:rsidR="00F4229A">
        <w:t xml:space="preserve"> had </w:t>
      </w:r>
      <w:r w:rsidR="00902530">
        <w:t>een zwalkend looppatroon</w:t>
      </w:r>
      <w:r w:rsidR="002849BB">
        <w:t xml:space="preserve">. Bij het </w:t>
      </w:r>
      <w:r w:rsidR="002B34E4">
        <w:t xml:space="preserve">overeind komen deden zich </w:t>
      </w:r>
      <w:proofErr w:type="spellStart"/>
      <w:r w:rsidR="002B34E4">
        <w:t>myoclonieën</w:t>
      </w:r>
      <w:proofErr w:type="spellEnd"/>
      <w:r w:rsidR="002B34E4">
        <w:t xml:space="preserve"> van de romp voor. </w:t>
      </w:r>
      <w:r w:rsidR="00902530">
        <w:t>E</w:t>
      </w:r>
      <w:r w:rsidR="002B34E4">
        <w:t xml:space="preserve">r </w:t>
      </w:r>
      <w:r w:rsidR="00902530">
        <w:t xml:space="preserve">traden </w:t>
      </w:r>
      <w:r w:rsidR="002B34E4">
        <w:t xml:space="preserve">zeer levendige </w:t>
      </w:r>
      <w:proofErr w:type="spellStart"/>
      <w:r w:rsidR="002B34E4">
        <w:t>inslaapmyoclonieën</w:t>
      </w:r>
      <w:proofErr w:type="spellEnd"/>
      <w:r w:rsidR="002B34E4">
        <w:t xml:space="preserve"> op.</w:t>
      </w:r>
      <w:r w:rsidR="00B40EEC">
        <w:t xml:space="preserve"> </w:t>
      </w:r>
    </w:p>
    <w:p w:rsidR="002B34E4" w:rsidRDefault="002B34E4" w:rsidP="002B34E4"/>
    <w:p w:rsidR="002B34E4" w:rsidRDefault="005D0EC8" w:rsidP="002B34E4">
      <w:r>
        <w:t xml:space="preserve">Op basis van de </w:t>
      </w:r>
      <w:r w:rsidR="00986361">
        <w:t>(</w:t>
      </w:r>
      <w:r w:rsidR="0007168A">
        <w:t>in</w:t>
      </w:r>
      <w:r>
        <w:t>slaap</w:t>
      </w:r>
      <w:r w:rsidR="00986361">
        <w:t>)</w:t>
      </w:r>
      <w:proofErr w:type="spellStart"/>
      <w:r>
        <w:t>myoclonie</w:t>
      </w:r>
      <w:r w:rsidR="00986361">
        <w:t>ë</w:t>
      </w:r>
      <w:r>
        <w:t>n</w:t>
      </w:r>
      <w:proofErr w:type="spellEnd"/>
      <w:r>
        <w:t xml:space="preserve"> en hand-voet-mond ziekte werd een</w:t>
      </w:r>
      <w:r w:rsidR="002B34E4">
        <w:t xml:space="preserve"> para-infectieuze hersenstamencefalitis </w:t>
      </w:r>
      <w:r>
        <w:t>verondersteld</w:t>
      </w:r>
      <w:r w:rsidR="002B34E4">
        <w:t xml:space="preserve">. Middels een rectumuitstrijk werd een </w:t>
      </w:r>
      <w:proofErr w:type="spellStart"/>
      <w:r w:rsidR="002B34E4">
        <w:t>enterovirus</w:t>
      </w:r>
      <w:proofErr w:type="spellEnd"/>
      <w:r w:rsidR="00E572EA">
        <w:t xml:space="preserve"> A71</w:t>
      </w:r>
      <w:r w:rsidR="002B34E4">
        <w:t xml:space="preserve"> aangetoond. </w:t>
      </w:r>
    </w:p>
    <w:p w:rsidR="009C32E7" w:rsidRPr="00A824E4" w:rsidRDefault="002B34E4" w:rsidP="002B34E4">
      <w:r>
        <w:t xml:space="preserve">Gedurende de ziekenhuisopname </w:t>
      </w:r>
      <w:r w:rsidR="00F4229A">
        <w:t xml:space="preserve">namen </w:t>
      </w:r>
      <w:r>
        <w:t xml:space="preserve">de </w:t>
      </w:r>
      <w:proofErr w:type="spellStart"/>
      <w:r>
        <w:t>inslaapmyoclonieën</w:t>
      </w:r>
      <w:proofErr w:type="spellEnd"/>
      <w:r>
        <w:t xml:space="preserve"> geleidelijk </w:t>
      </w:r>
      <w:r w:rsidR="00F4229A">
        <w:t>af</w:t>
      </w:r>
      <w:r w:rsidR="0007168A">
        <w:t xml:space="preserve"> en </w:t>
      </w:r>
      <w:r w:rsidR="00F4229A">
        <w:t xml:space="preserve">verdwenen </w:t>
      </w:r>
      <w:r w:rsidR="0007168A">
        <w:t xml:space="preserve">na </w:t>
      </w:r>
      <w:r w:rsidR="00F4229A">
        <w:t>drie dagen volledig</w:t>
      </w:r>
      <w:r w:rsidR="009C32E7">
        <w:t xml:space="preserve">. </w:t>
      </w:r>
    </w:p>
    <w:p w:rsidR="009C32E7" w:rsidRDefault="009C32E7" w:rsidP="002B34E4">
      <w:pPr>
        <w:rPr>
          <w:b/>
          <w:bCs/>
          <w:sz w:val="28"/>
          <w:szCs w:val="28"/>
        </w:rPr>
      </w:pPr>
    </w:p>
    <w:p w:rsidR="002B34E4" w:rsidRDefault="002B34E4" w:rsidP="002B34E4">
      <w:r>
        <w:t>Hand-voet-mond ziekte kan veroorzaakt worden door coxackie- of enterovirusinfecties</w:t>
      </w:r>
      <w:r>
        <w:rPr>
          <w:vertAlign w:val="superscript"/>
        </w:rPr>
        <w:t>1,5</w:t>
      </w:r>
      <w:r w:rsidR="00A10D8D">
        <w:rPr>
          <w:vertAlign w:val="superscript"/>
        </w:rPr>
        <w:t xml:space="preserve"> </w:t>
      </w:r>
      <w:r w:rsidR="009C32E7">
        <w:t xml:space="preserve">. </w:t>
      </w:r>
      <w:r w:rsidR="00A10D8D">
        <w:t xml:space="preserve"> </w:t>
      </w:r>
      <w:r>
        <w:t>Ongeveer 0</w:t>
      </w:r>
      <w:r w:rsidR="001D231A">
        <w:t>,</w:t>
      </w:r>
      <w:r>
        <w:t xml:space="preserve">2-1% van de kinderen met </w:t>
      </w:r>
      <w:r w:rsidR="00F4229A">
        <w:t xml:space="preserve">een </w:t>
      </w:r>
      <w:proofErr w:type="spellStart"/>
      <w:r>
        <w:t>enterovirus</w:t>
      </w:r>
      <w:proofErr w:type="spellEnd"/>
      <w:r>
        <w:t xml:space="preserve"> A71 infectie ontwikkelt neurologische verschijnselen binnen 3-5 dagen na </w:t>
      </w:r>
      <w:r w:rsidR="00E572EA">
        <w:t xml:space="preserve">de </w:t>
      </w:r>
      <w:r>
        <w:t>initiële infectie</w:t>
      </w:r>
      <w:r>
        <w:rPr>
          <w:vertAlign w:val="superscript"/>
        </w:rPr>
        <w:t>6</w:t>
      </w:r>
      <w:r>
        <w:t>.</w:t>
      </w:r>
      <w:r w:rsidR="00E572EA">
        <w:t xml:space="preserve"> </w:t>
      </w:r>
      <w:r>
        <w:t>Een para-infectieuze hersenstamencefalitis is de meest voorkomende complicatie</w:t>
      </w:r>
      <w:r>
        <w:rPr>
          <w:vertAlign w:val="superscript"/>
        </w:rPr>
        <w:t>2</w:t>
      </w:r>
      <w:r w:rsidR="00F4229A">
        <w:rPr>
          <w:vertAlign w:val="superscript"/>
        </w:rPr>
        <w:t>-</w:t>
      </w:r>
      <w:r>
        <w:rPr>
          <w:vertAlign w:val="superscript"/>
        </w:rPr>
        <w:t>5</w:t>
      </w:r>
      <w:r>
        <w:t xml:space="preserve">. Het meest frequente symptoom </w:t>
      </w:r>
      <w:r w:rsidR="008514E7">
        <w:t>hiervan</w:t>
      </w:r>
      <w:r>
        <w:t xml:space="preserve"> is het optreden van hevige </w:t>
      </w:r>
      <w:proofErr w:type="spellStart"/>
      <w:r>
        <w:t>myoclonieën</w:t>
      </w:r>
      <w:proofErr w:type="spellEnd"/>
      <w:r>
        <w:t xml:space="preserve"> zowel spontaan als bij inslapen</w:t>
      </w:r>
      <w:r>
        <w:rPr>
          <w:vertAlign w:val="superscript"/>
        </w:rPr>
        <w:t>2,4</w:t>
      </w:r>
      <w:r>
        <w:t xml:space="preserve">. Er bestaat geen </w:t>
      </w:r>
      <w:r w:rsidR="00E572EA">
        <w:t xml:space="preserve">EEG </w:t>
      </w:r>
      <w:r>
        <w:t xml:space="preserve">correlaat </w:t>
      </w:r>
      <w:r w:rsidR="00E572EA">
        <w:t xml:space="preserve">voor de </w:t>
      </w:r>
      <w:r>
        <w:t>myoclonieën</w:t>
      </w:r>
      <w:r>
        <w:rPr>
          <w:vertAlign w:val="superscript"/>
        </w:rPr>
        <w:t>2</w:t>
      </w:r>
      <w:r>
        <w:t xml:space="preserve">. Waarom </w:t>
      </w:r>
      <w:proofErr w:type="spellStart"/>
      <w:r>
        <w:t>myoclonieën</w:t>
      </w:r>
      <w:proofErr w:type="spellEnd"/>
      <w:r>
        <w:t xml:space="preserve"> op de voorgrond staan is onbekend. </w:t>
      </w:r>
    </w:p>
    <w:p w:rsidR="00E572EA" w:rsidRDefault="00E572EA" w:rsidP="002B34E4">
      <w:bookmarkStart w:id="0" w:name="_GoBack"/>
      <w:bookmarkEnd w:id="0"/>
    </w:p>
    <w:p w:rsidR="0007168A" w:rsidRDefault="002B34E4" w:rsidP="002B34E4">
      <w:r>
        <w:t>Er bestaat geen antivirale medicatie om hand-voet-mond ziekte te behandelen en neurologische complicatie te voorkomen</w:t>
      </w:r>
      <w:r>
        <w:rPr>
          <w:vertAlign w:val="superscript"/>
        </w:rPr>
        <w:t>1</w:t>
      </w:r>
      <w:r>
        <w:t xml:space="preserve">. </w:t>
      </w:r>
    </w:p>
    <w:p w:rsidR="002B34E4" w:rsidRDefault="002B34E4" w:rsidP="002B34E4"/>
    <w:p w:rsidR="002B34E4" w:rsidRPr="007B6D92" w:rsidRDefault="002B34E4" w:rsidP="002B34E4">
      <w:pPr>
        <w:rPr>
          <w:b/>
        </w:rPr>
      </w:pPr>
      <w:r w:rsidRPr="007B6D92">
        <w:rPr>
          <w:b/>
        </w:rPr>
        <w:t xml:space="preserve">Literatuurlijst </w:t>
      </w:r>
    </w:p>
    <w:p w:rsidR="002B34E4" w:rsidRDefault="002B34E4" w:rsidP="002B34E4">
      <w:pPr>
        <w:pStyle w:val="Lijstalinea"/>
        <w:numPr>
          <w:ilvl w:val="0"/>
          <w:numId w:val="1"/>
        </w:numPr>
        <w:rPr>
          <w:lang w:val="en-US"/>
        </w:rPr>
      </w:pPr>
      <w:r w:rsidRPr="00DC6E0E">
        <w:rPr>
          <w:lang w:val="en-US"/>
        </w:rPr>
        <w:t xml:space="preserve">Esposito S, </w:t>
      </w:r>
      <w:proofErr w:type="spellStart"/>
      <w:r w:rsidRPr="00DC6E0E">
        <w:rPr>
          <w:lang w:val="en-US"/>
        </w:rPr>
        <w:t>Principi</w:t>
      </w:r>
      <w:proofErr w:type="spellEnd"/>
      <w:r w:rsidRPr="00DC6E0E">
        <w:rPr>
          <w:lang w:val="en-US"/>
        </w:rPr>
        <w:t xml:space="preserve"> N. Ha</w:t>
      </w:r>
      <w:r>
        <w:rPr>
          <w:lang w:val="en-US"/>
        </w:rPr>
        <w:t xml:space="preserve">nd, foot and mouth disease: current knowledge on clinical manifestations, epidemiology, </w:t>
      </w:r>
      <w:proofErr w:type="spellStart"/>
      <w:r>
        <w:rPr>
          <w:lang w:val="en-US"/>
        </w:rPr>
        <w:t>aetiology</w:t>
      </w:r>
      <w:proofErr w:type="spellEnd"/>
      <w:r>
        <w:rPr>
          <w:lang w:val="en-US"/>
        </w:rPr>
        <w:t xml:space="preserve"> and prevention. </w:t>
      </w:r>
      <w:proofErr w:type="spellStart"/>
      <w:r>
        <w:rPr>
          <w:lang w:val="en-US"/>
        </w:rPr>
        <w:t>Eur</w:t>
      </w:r>
      <w:proofErr w:type="spellEnd"/>
      <w:r>
        <w:rPr>
          <w:lang w:val="en-US"/>
        </w:rPr>
        <w:t xml:space="preserve"> J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Microbiol</w:t>
      </w:r>
      <w:proofErr w:type="spellEnd"/>
      <w:r>
        <w:rPr>
          <w:lang w:val="en-US"/>
        </w:rPr>
        <w:t xml:space="preserve"> Infect Dis. 2018;37:391-8</w:t>
      </w:r>
    </w:p>
    <w:p w:rsidR="002B34E4" w:rsidRDefault="002B34E4" w:rsidP="002B34E4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 w:rsidRPr="007B6D92">
        <w:rPr>
          <w:lang w:val="de-DE"/>
        </w:rPr>
        <w:t>Messacar</w:t>
      </w:r>
      <w:proofErr w:type="spellEnd"/>
      <w:r w:rsidRPr="007B6D92">
        <w:rPr>
          <w:lang w:val="de-DE"/>
        </w:rPr>
        <w:t xml:space="preserve"> K, Spence-</w:t>
      </w:r>
      <w:proofErr w:type="spellStart"/>
      <w:r w:rsidRPr="007B6D92">
        <w:rPr>
          <w:lang w:val="de-DE"/>
        </w:rPr>
        <w:t>Davizon</w:t>
      </w:r>
      <w:proofErr w:type="spellEnd"/>
      <w:r w:rsidRPr="007B6D92">
        <w:rPr>
          <w:lang w:val="de-DE"/>
        </w:rPr>
        <w:t xml:space="preserve"> E, Osborne C, Press C, Schreiner TL, Martin J, et al. </w:t>
      </w:r>
      <w:r>
        <w:rPr>
          <w:lang w:val="en-US"/>
        </w:rPr>
        <w:t>Clinical characteristics of enterovirus A71 neurological disease during an outbreak in children in Colorado, USA, in 2018: an observational cohort study. Lancet Infect Dis. 2020;20:230-9</w:t>
      </w:r>
    </w:p>
    <w:p w:rsidR="002B34E4" w:rsidRDefault="002B34E4" w:rsidP="002B34E4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Zang</w:t>
      </w:r>
      <w:proofErr w:type="spellEnd"/>
      <w:r>
        <w:rPr>
          <w:lang w:val="en-US"/>
        </w:rPr>
        <w:t xml:space="preserve"> Q, MacDonald NE, Smith JC, </w:t>
      </w:r>
      <w:proofErr w:type="spellStart"/>
      <w:r>
        <w:rPr>
          <w:lang w:val="en-US"/>
        </w:rPr>
        <w:t>Cai</w:t>
      </w:r>
      <w:proofErr w:type="spellEnd"/>
      <w:r>
        <w:rPr>
          <w:lang w:val="en-US"/>
        </w:rPr>
        <w:t xml:space="preserve"> K, Yu H, Li H, et al. Severe enterovirus type 71 nervous system infections in children in the shanghai region of china: clinical manifestations and implications for prevention and care. </w:t>
      </w:r>
      <w:proofErr w:type="spellStart"/>
      <w:r>
        <w:rPr>
          <w:lang w:val="en-US"/>
        </w:rPr>
        <w:t>Pediatr</w:t>
      </w:r>
      <w:proofErr w:type="spellEnd"/>
      <w:r>
        <w:rPr>
          <w:lang w:val="en-US"/>
        </w:rPr>
        <w:t xml:space="preserve"> Infect Dis J. 2014;33:482-7</w:t>
      </w:r>
    </w:p>
    <w:p w:rsidR="002B34E4" w:rsidRDefault="002B34E4" w:rsidP="002B34E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Teoh HL, Mohammad SS, Britton PN, </w:t>
      </w:r>
      <w:proofErr w:type="spellStart"/>
      <w:r>
        <w:rPr>
          <w:lang w:val="en-US"/>
        </w:rPr>
        <w:t>Kandula</w:t>
      </w:r>
      <w:proofErr w:type="spellEnd"/>
      <w:r>
        <w:rPr>
          <w:lang w:val="en-US"/>
        </w:rPr>
        <w:t xml:space="preserve"> T, </w:t>
      </w:r>
      <w:proofErr w:type="spellStart"/>
      <w:r>
        <w:rPr>
          <w:lang w:val="en-US"/>
        </w:rPr>
        <w:t>Lorentzos</w:t>
      </w:r>
      <w:proofErr w:type="spellEnd"/>
      <w:r>
        <w:rPr>
          <w:lang w:val="en-US"/>
        </w:rPr>
        <w:t xml:space="preserve"> MS, </w:t>
      </w:r>
      <w:proofErr w:type="spellStart"/>
      <w:r>
        <w:rPr>
          <w:lang w:val="en-US"/>
        </w:rPr>
        <w:t>Booy</w:t>
      </w:r>
      <w:proofErr w:type="spellEnd"/>
      <w:r>
        <w:rPr>
          <w:lang w:val="en-US"/>
        </w:rPr>
        <w:t xml:space="preserve"> R, et al. Clinical characteristics and functional motor outcomes of enterovirus 71 neurological disease in children. JAMA Neurol. 2016;73:300-7</w:t>
      </w:r>
    </w:p>
    <w:p w:rsidR="002B34E4" w:rsidRDefault="002B34E4" w:rsidP="002B34E4">
      <w:pPr>
        <w:pStyle w:val="Lijstalinea"/>
        <w:numPr>
          <w:ilvl w:val="0"/>
          <w:numId w:val="1"/>
        </w:numPr>
        <w:rPr>
          <w:lang w:val="en-US"/>
        </w:rPr>
      </w:pPr>
      <w:r w:rsidRPr="007B6D92">
        <w:rPr>
          <w:lang w:val="en-US"/>
        </w:rPr>
        <w:t xml:space="preserve">Ho M, Chen ER, Hsu KW, </w:t>
      </w:r>
      <w:proofErr w:type="spellStart"/>
      <w:r w:rsidRPr="007B6D92">
        <w:rPr>
          <w:lang w:val="en-US"/>
        </w:rPr>
        <w:t>Twu</w:t>
      </w:r>
      <w:proofErr w:type="spellEnd"/>
      <w:r w:rsidRPr="007B6D92">
        <w:rPr>
          <w:lang w:val="en-US"/>
        </w:rPr>
        <w:t xml:space="preserve"> SJ, Chen KT, Tsai SF, et al. </w:t>
      </w:r>
      <w:r w:rsidRPr="00C3355C">
        <w:rPr>
          <w:lang w:val="en-US"/>
        </w:rPr>
        <w:t>An epidemic of enterovirus 71 infection in T</w:t>
      </w:r>
      <w:r>
        <w:rPr>
          <w:lang w:val="en-US"/>
        </w:rPr>
        <w:t xml:space="preserve">aiwan. N </w:t>
      </w:r>
      <w:proofErr w:type="spellStart"/>
      <w:r>
        <w:rPr>
          <w:lang w:val="en-US"/>
        </w:rPr>
        <w:t>Eng</w:t>
      </w:r>
      <w:proofErr w:type="spellEnd"/>
      <w:r>
        <w:rPr>
          <w:lang w:val="en-US"/>
        </w:rPr>
        <w:t xml:space="preserve"> J Med. 1999;341:929-35</w:t>
      </w:r>
    </w:p>
    <w:p w:rsidR="002B34E4" w:rsidRDefault="002B34E4" w:rsidP="002B34E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Lee KY. Enterovirus 71 infection and neurological complications. Korean J </w:t>
      </w:r>
      <w:proofErr w:type="spellStart"/>
      <w:r>
        <w:rPr>
          <w:lang w:val="en-US"/>
        </w:rPr>
        <w:t>Pediatr</w:t>
      </w:r>
      <w:proofErr w:type="spellEnd"/>
      <w:r>
        <w:rPr>
          <w:lang w:val="en-US"/>
        </w:rPr>
        <w:t>. 2016;59:395-401</w:t>
      </w:r>
    </w:p>
    <w:p w:rsidR="002B34E4" w:rsidRDefault="002B34E4" w:rsidP="002B34E4"/>
    <w:p w:rsidR="001E1025" w:rsidRPr="001E1025" w:rsidRDefault="001E1025"/>
    <w:sectPr w:rsidR="001E1025" w:rsidRPr="001E1025" w:rsidSect="000659C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8A" w:rsidRDefault="0007168A" w:rsidP="002B34E4">
      <w:r>
        <w:separator/>
      </w:r>
    </w:p>
  </w:endnote>
  <w:endnote w:type="continuationSeparator" w:id="0">
    <w:p w:rsidR="0007168A" w:rsidRDefault="0007168A" w:rsidP="002B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186181942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07168A" w:rsidRDefault="0007168A" w:rsidP="001D231A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7168A" w:rsidRDefault="000716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184901103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07168A" w:rsidRDefault="0007168A" w:rsidP="001D231A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986361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07168A" w:rsidRDefault="000716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8A" w:rsidRDefault="0007168A" w:rsidP="002B34E4">
      <w:r>
        <w:separator/>
      </w:r>
    </w:p>
  </w:footnote>
  <w:footnote w:type="continuationSeparator" w:id="0">
    <w:p w:rsidR="0007168A" w:rsidRDefault="0007168A" w:rsidP="002B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1464"/>
    <w:multiLevelType w:val="hybridMultilevel"/>
    <w:tmpl w:val="64AA3E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4D"/>
    <w:rsid w:val="0001383E"/>
    <w:rsid w:val="00031809"/>
    <w:rsid w:val="000422CE"/>
    <w:rsid w:val="000452A1"/>
    <w:rsid w:val="000458B8"/>
    <w:rsid w:val="0005470D"/>
    <w:rsid w:val="000659C1"/>
    <w:rsid w:val="00065C5F"/>
    <w:rsid w:val="00065E21"/>
    <w:rsid w:val="0007168A"/>
    <w:rsid w:val="00084354"/>
    <w:rsid w:val="00085564"/>
    <w:rsid w:val="000876EF"/>
    <w:rsid w:val="0009003C"/>
    <w:rsid w:val="00095CC5"/>
    <w:rsid w:val="000A4CDC"/>
    <w:rsid w:val="000B7746"/>
    <w:rsid w:val="000C2591"/>
    <w:rsid w:val="000D34D3"/>
    <w:rsid w:val="000E7799"/>
    <w:rsid w:val="00114905"/>
    <w:rsid w:val="00117AF1"/>
    <w:rsid w:val="00122CDD"/>
    <w:rsid w:val="001306B6"/>
    <w:rsid w:val="00133A8B"/>
    <w:rsid w:val="00141466"/>
    <w:rsid w:val="001442AF"/>
    <w:rsid w:val="0016174B"/>
    <w:rsid w:val="001659B9"/>
    <w:rsid w:val="001B376B"/>
    <w:rsid w:val="001D231A"/>
    <w:rsid w:val="001D5E74"/>
    <w:rsid w:val="001E1025"/>
    <w:rsid w:val="00202462"/>
    <w:rsid w:val="00223F5C"/>
    <w:rsid w:val="00230AEE"/>
    <w:rsid w:val="00234AD5"/>
    <w:rsid w:val="00257CD7"/>
    <w:rsid w:val="00261A2C"/>
    <w:rsid w:val="00262369"/>
    <w:rsid w:val="00267842"/>
    <w:rsid w:val="00267DEF"/>
    <w:rsid w:val="002849BB"/>
    <w:rsid w:val="002B34E4"/>
    <w:rsid w:val="002C7156"/>
    <w:rsid w:val="002E0D9A"/>
    <w:rsid w:val="0030673B"/>
    <w:rsid w:val="00312D11"/>
    <w:rsid w:val="003138A7"/>
    <w:rsid w:val="00332611"/>
    <w:rsid w:val="00345262"/>
    <w:rsid w:val="00351397"/>
    <w:rsid w:val="0035681C"/>
    <w:rsid w:val="003D6CAF"/>
    <w:rsid w:val="00406F6A"/>
    <w:rsid w:val="00416312"/>
    <w:rsid w:val="00423924"/>
    <w:rsid w:val="00441741"/>
    <w:rsid w:val="004703A5"/>
    <w:rsid w:val="004734BA"/>
    <w:rsid w:val="00490EC0"/>
    <w:rsid w:val="00495C95"/>
    <w:rsid w:val="004A6386"/>
    <w:rsid w:val="00503236"/>
    <w:rsid w:val="005110E2"/>
    <w:rsid w:val="00517ACE"/>
    <w:rsid w:val="00541807"/>
    <w:rsid w:val="0055113E"/>
    <w:rsid w:val="00570353"/>
    <w:rsid w:val="00594BF4"/>
    <w:rsid w:val="005B7188"/>
    <w:rsid w:val="005C6964"/>
    <w:rsid w:val="005D0EC8"/>
    <w:rsid w:val="005D39B7"/>
    <w:rsid w:val="005E03B4"/>
    <w:rsid w:val="00602234"/>
    <w:rsid w:val="00653CAB"/>
    <w:rsid w:val="00680385"/>
    <w:rsid w:val="006922C7"/>
    <w:rsid w:val="00692EC9"/>
    <w:rsid w:val="006A32E5"/>
    <w:rsid w:val="006A6AEF"/>
    <w:rsid w:val="006B2E2D"/>
    <w:rsid w:val="006C2EEE"/>
    <w:rsid w:val="006C3243"/>
    <w:rsid w:val="006D3127"/>
    <w:rsid w:val="006D77D5"/>
    <w:rsid w:val="006D7F7A"/>
    <w:rsid w:val="00707C3B"/>
    <w:rsid w:val="0073491A"/>
    <w:rsid w:val="00750BB9"/>
    <w:rsid w:val="00774D5F"/>
    <w:rsid w:val="007B6D92"/>
    <w:rsid w:val="007C3C0A"/>
    <w:rsid w:val="007E3C9F"/>
    <w:rsid w:val="007F493F"/>
    <w:rsid w:val="00820A20"/>
    <w:rsid w:val="00821781"/>
    <w:rsid w:val="00840B75"/>
    <w:rsid w:val="008514E7"/>
    <w:rsid w:val="00862563"/>
    <w:rsid w:val="008649C0"/>
    <w:rsid w:val="008A08A7"/>
    <w:rsid w:val="008A1E39"/>
    <w:rsid w:val="008B268B"/>
    <w:rsid w:val="008C3338"/>
    <w:rsid w:val="008D364D"/>
    <w:rsid w:val="008E0E2F"/>
    <w:rsid w:val="008E6859"/>
    <w:rsid w:val="008E754A"/>
    <w:rsid w:val="00902530"/>
    <w:rsid w:val="00903F70"/>
    <w:rsid w:val="00913900"/>
    <w:rsid w:val="00922539"/>
    <w:rsid w:val="0094734B"/>
    <w:rsid w:val="00974BAF"/>
    <w:rsid w:val="00986361"/>
    <w:rsid w:val="009976AF"/>
    <w:rsid w:val="009B0D2B"/>
    <w:rsid w:val="009B5999"/>
    <w:rsid w:val="009C32E7"/>
    <w:rsid w:val="009C5602"/>
    <w:rsid w:val="009E3A9D"/>
    <w:rsid w:val="009F2E81"/>
    <w:rsid w:val="00A04544"/>
    <w:rsid w:val="00A10D8D"/>
    <w:rsid w:val="00A13586"/>
    <w:rsid w:val="00A700BA"/>
    <w:rsid w:val="00AE264C"/>
    <w:rsid w:val="00B05963"/>
    <w:rsid w:val="00B153A6"/>
    <w:rsid w:val="00B17278"/>
    <w:rsid w:val="00B21D08"/>
    <w:rsid w:val="00B40EEC"/>
    <w:rsid w:val="00B50774"/>
    <w:rsid w:val="00B607A3"/>
    <w:rsid w:val="00B83E6B"/>
    <w:rsid w:val="00B86BC5"/>
    <w:rsid w:val="00B87C62"/>
    <w:rsid w:val="00B9349C"/>
    <w:rsid w:val="00BA25D5"/>
    <w:rsid w:val="00C107AE"/>
    <w:rsid w:val="00C12879"/>
    <w:rsid w:val="00C2337C"/>
    <w:rsid w:val="00C23671"/>
    <w:rsid w:val="00C35707"/>
    <w:rsid w:val="00C60A42"/>
    <w:rsid w:val="00C61780"/>
    <w:rsid w:val="00C74B73"/>
    <w:rsid w:val="00C756C0"/>
    <w:rsid w:val="00C8701F"/>
    <w:rsid w:val="00CA2D59"/>
    <w:rsid w:val="00CD124D"/>
    <w:rsid w:val="00CD7B0A"/>
    <w:rsid w:val="00CE090C"/>
    <w:rsid w:val="00CE6E86"/>
    <w:rsid w:val="00CF6D92"/>
    <w:rsid w:val="00D156E5"/>
    <w:rsid w:val="00D26D11"/>
    <w:rsid w:val="00D36CB3"/>
    <w:rsid w:val="00D6023F"/>
    <w:rsid w:val="00D6635B"/>
    <w:rsid w:val="00D73416"/>
    <w:rsid w:val="00D7647F"/>
    <w:rsid w:val="00DA1DBE"/>
    <w:rsid w:val="00DB768E"/>
    <w:rsid w:val="00DC352E"/>
    <w:rsid w:val="00DD2ECC"/>
    <w:rsid w:val="00DF6F4D"/>
    <w:rsid w:val="00E03E06"/>
    <w:rsid w:val="00E11E54"/>
    <w:rsid w:val="00E13D04"/>
    <w:rsid w:val="00E251BF"/>
    <w:rsid w:val="00E3397C"/>
    <w:rsid w:val="00E4414E"/>
    <w:rsid w:val="00E463FE"/>
    <w:rsid w:val="00E5530E"/>
    <w:rsid w:val="00E572EA"/>
    <w:rsid w:val="00E600AF"/>
    <w:rsid w:val="00E71500"/>
    <w:rsid w:val="00E7184C"/>
    <w:rsid w:val="00E72F56"/>
    <w:rsid w:val="00E74776"/>
    <w:rsid w:val="00E93083"/>
    <w:rsid w:val="00EC2E58"/>
    <w:rsid w:val="00ED58A9"/>
    <w:rsid w:val="00EF6B1A"/>
    <w:rsid w:val="00F00FFF"/>
    <w:rsid w:val="00F326BF"/>
    <w:rsid w:val="00F34936"/>
    <w:rsid w:val="00F4229A"/>
    <w:rsid w:val="00F5656B"/>
    <w:rsid w:val="00F90F18"/>
    <w:rsid w:val="00FB3625"/>
    <w:rsid w:val="00FD26BC"/>
    <w:rsid w:val="00FD36F6"/>
    <w:rsid w:val="00FD3F20"/>
    <w:rsid w:val="00FE37E6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D67F"/>
  <w15:chartTrackingRefBased/>
  <w15:docId w15:val="{93B7C24D-569E-2545-BE3E-8104811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6F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34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34E4"/>
  </w:style>
  <w:style w:type="paragraph" w:styleId="Voettekst">
    <w:name w:val="footer"/>
    <w:basedOn w:val="Standaard"/>
    <w:link w:val="VoettekstChar"/>
    <w:uiPriority w:val="99"/>
    <w:unhideWhenUsed/>
    <w:rsid w:val="002B34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34E4"/>
  </w:style>
  <w:style w:type="character" w:styleId="Paginanummer">
    <w:name w:val="page number"/>
    <w:basedOn w:val="Standaardalinea-lettertype"/>
    <w:uiPriority w:val="99"/>
    <w:semiHidden/>
    <w:unhideWhenUsed/>
    <w:rsid w:val="002B34E4"/>
  </w:style>
  <w:style w:type="paragraph" w:styleId="Lijstalinea">
    <w:name w:val="List Paragraph"/>
    <w:basedOn w:val="Standaard"/>
    <w:uiPriority w:val="34"/>
    <w:qFormat/>
    <w:rsid w:val="002B34E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4CD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CDC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1D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72A0-265A-45F8-84E4-00737ABB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Wiersma, Manon (Stud. FHML / Alumni)</dc:creator>
  <cp:keywords/>
  <dc:description/>
  <cp:lastModifiedBy>Peters, P.J.J.S. (Petra)</cp:lastModifiedBy>
  <cp:revision>9</cp:revision>
  <dcterms:created xsi:type="dcterms:W3CDTF">2022-03-28T10:29:00Z</dcterms:created>
  <dcterms:modified xsi:type="dcterms:W3CDTF">2022-04-01T12:48:00Z</dcterms:modified>
</cp:coreProperties>
</file>