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2198" w14:textId="77777777" w:rsidR="00747E9B" w:rsidRPr="00747E9B" w:rsidRDefault="00747E9B" w:rsidP="00747E9B">
      <w:pPr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</w:pPr>
      <w:r w:rsidRPr="00747E9B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De Guanabenz Trial: een eerste behandeling v</w:t>
      </w:r>
      <w:r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 xml:space="preserve">an patiënten met </w:t>
      </w:r>
      <w:proofErr w:type="spellStart"/>
      <w:r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Early-Childhood</w:t>
      </w:r>
      <w:proofErr w:type="spellEnd"/>
      <w:r w:rsidRPr="00747E9B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747E9B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Onset</w:t>
      </w:r>
      <w:proofErr w:type="spellEnd"/>
      <w:r w:rsidRPr="00747E9B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Vanishing</w:t>
      </w:r>
      <w:proofErr w:type="spellEnd"/>
      <w:r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 xml:space="preserve"> White Matter </w:t>
      </w:r>
    </w:p>
    <w:p w14:paraId="0EC1BDC1" w14:textId="77777777" w:rsidR="00747E9B" w:rsidRPr="001921F8" w:rsidRDefault="00747E9B" w:rsidP="00747E9B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vertAlign w:val="superscript"/>
        </w:rPr>
      </w:pPr>
      <w:r w:rsidRPr="001B419E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Renate J. Verbeek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vertAlign w:val="superscript"/>
        </w:rPr>
        <w:t>1</w:t>
      </w:r>
      <w:r w:rsidRPr="001B419E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, Marije M.C. Voermans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vertAlign w:val="superscript"/>
        </w:rPr>
        <w:t>1</w:t>
      </w:r>
      <w:r w:rsidRPr="001B419E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, Elske van den Berg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vertAlign w:val="superscript"/>
        </w:rPr>
        <w:t>1</w:t>
      </w:r>
      <w:r w:rsidRPr="001B419E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, Pierre M. Bet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vertAlign w:val="superscript"/>
        </w:rPr>
        <w:t>2</w:t>
      </w:r>
      <w:r w:rsidRPr="001B419E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, Imke H. Bartelink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vertAlign w:val="superscript"/>
        </w:rPr>
        <w:t>2</w:t>
      </w:r>
      <w:r w:rsidRPr="001B419E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Truus </w:t>
      </w:r>
      <w:r w:rsidRPr="001B419E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E.M. Abbink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vertAlign w:val="superscript"/>
        </w:rPr>
        <w:t xml:space="preserve"> </w:t>
      </w:r>
      <w:r w:rsidRPr="001B419E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Menno D. Stellingwerff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vertAlign w:val="superscript"/>
        </w:rPr>
        <w:t>1</w:t>
      </w:r>
      <w:r w:rsidRPr="001B419E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, Petra J.W. Pouwels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vertAlign w:val="superscript"/>
        </w:rPr>
        <w:t>3</w:t>
      </w:r>
      <w:r w:rsidRPr="001B419E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, Nicole I. Wolf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vertAlign w:val="superscript"/>
        </w:rPr>
        <w:t>1</w:t>
      </w:r>
      <w:r w:rsidRPr="001B419E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, Marjo S. van der Knaap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vertAlign w:val="superscript"/>
        </w:rPr>
        <w:t>1</w:t>
      </w:r>
    </w:p>
    <w:p w14:paraId="3999606B" w14:textId="77777777" w:rsidR="00747E9B" w:rsidRPr="00747E9B" w:rsidRDefault="00747E9B" w:rsidP="00747E9B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747E9B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vertAlign w:val="superscript"/>
        </w:rPr>
        <w:t>1</w:t>
      </w:r>
      <w:r w:rsidRPr="00747E9B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Afdeling Kindergeneeskunde en Kinderneurologie, Emma Kinderziekenhuis, Amsterdam Leukodystrophy Center, </w:t>
      </w:r>
      <w:r w:rsidRPr="00747E9B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Afdeling Klinische Farmacolog</w:t>
      </w:r>
      <w:r w:rsidR="005329BB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ie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en Farmacie, en </w:t>
      </w:r>
      <w:r w:rsidRPr="00747E9B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Afdeling Radiologie en Nucleaire Geneeskunde,</w:t>
      </w:r>
      <w:r w:rsidRPr="00747E9B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Amsterdam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Universitair Medisch</w:t>
      </w:r>
      <w:r w:rsidR="005329BB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e Centra</w:t>
      </w:r>
    </w:p>
    <w:p w14:paraId="4C14B167" w14:textId="77777777" w:rsidR="00747E9B" w:rsidRDefault="00747E9B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0D18F0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Inleiding:</w:t>
      </w:r>
      <w:r w:rsidRPr="000D18F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0D18F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Vanishing</w:t>
      </w:r>
      <w:proofErr w:type="spellEnd"/>
      <w:r w:rsidRPr="000D18F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White Matter (VWM) is</w:t>
      </w:r>
      <w:r w:rsidR="000D18F0" w:rsidRPr="000D18F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een genetische wittestofziekte veroorzaakt door </w:t>
      </w:r>
      <w:r w:rsidR="007D3CC7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varianten </w:t>
      </w:r>
      <w:r w:rsidR="000D18F0" w:rsidRPr="000D18F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in </w:t>
      </w:r>
      <w:r w:rsidR="00C367BB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de genen</w:t>
      </w:r>
      <w:r w:rsidR="000D18F0" w:rsidRPr="000D18F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0D18F0" w:rsidRPr="00C367BB">
        <w:rPr>
          <w:rFonts w:ascii="Arial" w:hAnsi="Arial" w:cs="Arial"/>
          <w:i/>
          <w:color w:val="202124"/>
          <w:spacing w:val="3"/>
          <w:sz w:val="21"/>
          <w:szCs w:val="21"/>
          <w:shd w:val="clear" w:color="auto" w:fill="FFFFFF"/>
        </w:rPr>
        <w:t>EIF2B1-5</w:t>
      </w:r>
      <w:r w:rsidR="00C367BB">
        <w:rPr>
          <w:rFonts w:ascii="Arial" w:hAnsi="Arial" w:cs="Arial"/>
          <w:i/>
          <w:color w:val="202124"/>
          <w:spacing w:val="3"/>
          <w:sz w:val="21"/>
          <w:szCs w:val="21"/>
          <w:shd w:val="clear" w:color="auto" w:fill="FFFFFF"/>
        </w:rPr>
        <w:t>,</w:t>
      </w:r>
      <w:r w:rsidR="000D18F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C367BB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die</w:t>
      </w:r>
      <w:r w:rsidR="000D18F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coder</w:t>
      </w:r>
      <w:r w:rsidR="00C367BB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en</w:t>
      </w:r>
      <w:r w:rsidR="000D18F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voor eIF2B. eIF2B speelt een centrale rol in de geïntegreer</w:t>
      </w:r>
      <w:r w:rsidR="00D205B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de stress respons (ISR), welke </w:t>
      </w:r>
      <w:r w:rsidR="000D18F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continu abnormaal geactiveerd</w:t>
      </w:r>
      <w:r w:rsidR="00D205B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is in VWM</w:t>
      </w:r>
      <w:r w:rsidR="000D18F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.</w:t>
      </w:r>
      <w:r w:rsidR="00CC65F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Guanabenz, </w:t>
      </w:r>
      <w:r w:rsidR="000D18F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een oud alf</w:t>
      </w:r>
      <w:r w:rsidR="007F04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</w:t>
      </w:r>
      <w:r w:rsidR="000D18F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2</w:t>
      </w:r>
      <w:r w:rsidR="00CC65F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-adrenerg a</w:t>
      </w:r>
      <w:r w:rsidR="00647E8D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ntihypertensivum, vermindert </w:t>
      </w:r>
      <w:r w:rsidR="00CC65F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ISR activatie. </w:t>
      </w:r>
      <w:r w:rsidR="007D3CC7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In een VWM muis</w:t>
      </w:r>
      <w:r w:rsidR="000C2147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model werd</w:t>
      </w:r>
      <w:r w:rsidR="007F04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en</w:t>
      </w:r>
      <w:r w:rsidR="000C2147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CC65F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gunstige effe</w:t>
      </w:r>
      <w:r w:rsidR="007D3CC7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cten gezien van Guanabenz op </w:t>
      </w:r>
      <w:r w:rsidR="00CB715C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de </w:t>
      </w:r>
      <w:r w:rsidR="00CC65F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motoriek</w:t>
      </w:r>
      <w:r w:rsidR="00CB715C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</w:t>
      </w:r>
      <w:r w:rsidR="00647E8D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witte stof en op de ISR</w:t>
      </w:r>
      <w:r w:rsidR="007D3CC7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. Momenteel </w:t>
      </w:r>
      <w:r w:rsidR="00647E8D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behandelen we VWM kinderen </w:t>
      </w:r>
      <w:r w:rsidR="00CC65F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met Guanabenz</w:t>
      </w:r>
      <w:r w:rsidR="007F04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in een open-label </w:t>
      </w:r>
      <w:proofErr w:type="spellStart"/>
      <w:r w:rsidR="007F04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clinical</w:t>
      </w:r>
      <w:proofErr w:type="spellEnd"/>
      <w:r w:rsidR="007F04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trial met historische controlegroep</w:t>
      </w:r>
      <w:r w:rsidR="00CC65F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.</w:t>
      </w:r>
      <w:r w:rsidR="000C2147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0C2147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br/>
      </w:r>
      <w:r w:rsidR="000C2147" w:rsidRPr="000C2147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Methode</w:t>
      </w:r>
      <w:r w:rsidR="00F82E6B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n</w:t>
      </w:r>
      <w:r w:rsidR="000C2147" w:rsidRPr="000C2147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:</w:t>
      </w:r>
      <w:r w:rsidR="000C2147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Kinderen met genetisch bewezen VWM, MRI hersenen compatibel met VWM</w:t>
      </w:r>
      <w:r w:rsidR="00647E8D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klinische </w:t>
      </w:r>
      <w:r w:rsidR="00C367BB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presentatie</w:t>
      </w:r>
      <w:r w:rsidR="00647E8D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0C2147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&lt;6 jaar en in staat</w:t>
      </w:r>
      <w:r w:rsidR="00B63CBB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om </w:t>
      </w:r>
      <w:r w:rsidR="008A4F3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≥</w:t>
      </w:r>
      <w:r w:rsidR="000C2147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10 stappen te lopen worden geïncludeerd in de trial. We evalueren</w:t>
      </w:r>
      <w:r w:rsidR="007D3CC7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onder andere de veiligheid, verdraagbaarheid en effectiviteit van Guanabenz. </w:t>
      </w:r>
      <w:r w:rsidR="00C0529F" w:rsidRPr="00C0529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We verwac</w:t>
      </w:r>
      <w:r w:rsidR="007D3CC7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hten dat 30-40 patiënten </w:t>
      </w:r>
      <w:r w:rsidR="00C0529F" w:rsidRPr="00C0529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worden geïncludeerd in de trial. </w:t>
      </w:r>
      <w:r w:rsidR="00D205B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De totale trial</w:t>
      </w:r>
      <w:r w:rsidR="00C0529F" w:rsidRPr="00647E8D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duur is 4 jaar.</w:t>
      </w:r>
      <w:r w:rsidR="00C0529F" w:rsidRPr="00647E8D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br/>
      </w:r>
      <w:r w:rsidR="00C0529F" w:rsidRPr="00647E8D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Resultaten:</w:t>
      </w:r>
      <w:r w:rsidR="00647E8D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De 1e patië</w:t>
      </w:r>
      <w:r w:rsidR="00C0529F" w:rsidRPr="00647E8D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nt is geïncludeerd op 31 mei 2021. </w:t>
      </w:r>
      <w:r w:rsidR="00C0529F" w:rsidRPr="00C0529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Op 15 februari 2022, w</w:t>
      </w:r>
      <w:r w:rsidR="006A29C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o</w:t>
      </w:r>
      <w:r w:rsidR="00C0529F" w:rsidRPr="00C0529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rden 11 patiënten behandeld met Guanabenz. De belangrijkste bijwerkingen</w:t>
      </w:r>
      <w:r w:rsidR="00CC65F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C0529F" w:rsidRPr="00C0529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zijn slaperigheid, vermoeidheid, misselijkheid en nachtmerries</w:t>
      </w:r>
      <w:r w:rsidR="006A29C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maar </w:t>
      </w:r>
      <w:r w:rsidR="00C367BB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bij</w:t>
      </w:r>
      <w:r w:rsidR="006A29C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al</w:t>
      </w:r>
      <w:r w:rsidR="00CB715C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le patiënten trad</w:t>
      </w:r>
      <w:r w:rsidR="006A29C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gewenning op. </w:t>
      </w:r>
      <w:r w:rsidR="00C0529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br/>
      </w:r>
      <w:r w:rsidR="00C0529F" w:rsidRPr="00C0529F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Discussie:</w:t>
      </w:r>
      <w:r w:rsidR="00C0529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De eerste voorlopige res</w:t>
      </w:r>
      <w:r w:rsidR="006A29C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ultaten laten zien dat Guanabenz </w:t>
      </w:r>
      <w:r w:rsidR="00C0529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goed wordt verdragen. We zullen </w:t>
      </w:r>
      <w:r w:rsidR="00CC65F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het verdere verloop van de trial afwachten om uitspraken te kunnen doen over de effectiviteit.</w:t>
      </w:r>
    </w:p>
    <w:p w14:paraId="50E68FAA" w14:textId="77777777" w:rsidR="00CB715C" w:rsidRPr="00CB715C" w:rsidRDefault="00CB715C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sectPr w:rsidR="00CB715C" w:rsidRPr="00CB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9B"/>
    <w:rsid w:val="000C2147"/>
    <w:rsid w:val="000D18F0"/>
    <w:rsid w:val="001B23DE"/>
    <w:rsid w:val="003D1B99"/>
    <w:rsid w:val="00514C74"/>
    <w:rsid w:val="005329BB"/>
    <w:rsid w:val="00634231"/>
    <w:rsid w:val="00647E8D"/>
    <w:rsid w:val="00666BA2"/>
    <w:rsid w:val="006A29C9"/>
    <w:rsid w:val="00747E9B"/>
    <w:rsid w:val="007D3CC7"/>
    <w:rsid w:val="007F0416"/>
    <w:rsid w:val="008A4F36"/>
    <w:rsid w:val="00B63CBB"/>
    <w:rsid w:val="00C0529F"/>
    <w:rsid w:val="00C367BB"/>
    <w:rsid w:val="00CB715C"/>
    <w:rsid w:val="00CC65FF"/>
    <w:rsid w:val="00D205B0"/>
    <w:rsid w:val="00EF06D6"/>
    <w:rsid w:val="00F8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DA52"/>
  <w15:chartTrackingRefBased/>
  <w15:docId w15:val="{885BB696-5B5E-4905-85F6-06DD817C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47E9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747E9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Verbeek, R.J. (Renate)</dc:creator>
  <cp:keywords/>
  <dc:description/>
  <cp:lastModifiedBy>Sival, DA</cp:lastModifiedBy>
  <cp:revision>2</cp:revision>
  <cp:lastPrinted>2022-03-08T10:07:00Z</cp:lastPrinted>
  <dcterms:created xsi:type="dcterms:W3CDTF">2022-03-08T10:07:00Z</dcterms:created>
  <dcterms:modified xsi:type="dcterms:W3CDTF">2022-03-08T10:07:00Z</dcterms:modified>
</cp:coreProperties>
</file>