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8425" w14:textId="77777777" w:rsidR="00C21519" w:rsidRPr="00F2639A" w:rsidRDefault="00C21519" w:rsidP="006522AB">
      <w:pPr>
        <w:spacing w:line="276" w:lineRule="auto"/>
        <w:rPr>
          <w:b/>
        </w:rPr>
      </w:pPr>
      <w:proofErr w:type="spellStart"/>
      <w:r w:rsidRPr="00F2639A">
        <w:rPr>
          <w:b/>
        </w:rPr>
        <w:t>Modified</w:t>
      </w:r>
      <w:proofErr w:type="spellEnd"/>
      <w:r w:rsidRPr="00F2639A">
        <w:rPr>
          <w:b/>
        </w:rPr>
        <w:t xml:space="preserve"> Delphi procedure</w:t>
      </w:r>
      <w:r w:rsidRPr="00F2639A">
        <w:rPr>
          <w:rFonts w:ascii="Cambria Math" w:hAnsi="Cambria Math" w:cs="Cambria Math"/>
          <w:b/>
        </w:rPr>
        <w:t>‑</w:t>
      </w:r>
      <w:r w:rsidR="00F9640A" w:rsidRPr="00F2639A">
        <w:rPr>
          <w:b/>
        </w:rPr>
        <w:t xml:space="preserve">gebaseerde expert </w:t>
      </w:r>
      <w:r w:rsidRPr="00F2639A">
        <w:rPr>
          <w:b/>
        </w:rPr>
        <w:t xml:space="preserve">consensus </w:t>
      </w:r>
      <w:r w:rsidR="00F9640A" w:rsidRPr="00F2639A">
        <w:rPr>
          <w:b/>
        </w:rPr>
        <w:t>over eindpunten voor een internation</w:t>
      </w:r>
      <w:r w:rsidR="009844CC">
        <w:rPr>
          <w:b/>
        </w:rPr>
        <w:t>a</w:t>
      </w:r>
      <w:r w:rsidR="00F9640A" w:rsidRPr="00F2639A">
        <w:rPr>
          <w:b/>
        </w:rPr>
        <w:t xml:space="preserve">al </w:t>
      </w:r>
      <w:r w:rsidR="000A129C" w:rsidRPr="00F2639A">
        <w:rPr>
          <w:b/>
        </w:rPr>
        <w:t>ziekte-</w:t>
      </w:r>
      <w:r w:rsidR="00F9640A" w:rsidRPr="00F2639A">
        <w:rPr>
          <w:b/>
        </w:rPr>
        <w:t>register voor</w:t>
      </w:r>
      <w:r w:rsidR="00F2639A" w:rsidRPr="00F2639A">
        <w:rPr>
          <w:b/>
        </w:rPr>
        <w:t xml:space="preserve"> </w:t>
      </w:r>
      <w:proofErr w:type="spellStart"/>
      <w:r w:rsidR="00F2639A" w:rsidRPr="00F2639A">
        <w:rPr>
          <w:b/>
        </w:rPr>
        <w:t>Metachromatische</w:t>
      </w:r>
      <w:proofErr w:type="spellEnd"/>
      <w:r w:rsidR="00F9640A" w:rsidRPr="00F2639A">
        <w:rPr>
          <w:b/>
        </w:rPr>
        <w:t xml:space="preserve"> </w:t>
      </w:r>
      <w:r w:rsidRPr="00F2639A">
        <w:rPr>
          <w:b/>
        </w:rPr>
        <w:t>Leukodystro</w:t>
      </w:r>
      <w:r w:rsidR="00F2639A">
        <w:rPr>
          <w:b/>
        </w:rPr>
        <w:t>fie</w:t>
      </w:r>
      <w:r w:rsidR="006C5C38" w:rsidRPr="00F2639A">
        <w:rPr>
          <w:b/>
        </w:rPr>
        <w:t xml:space="preserve">: The European </w:t>
      </w:r>
      <w:proofErr w:type="spellStart"/>
      <w:r w:rsidR="006C5C38" w:rsidRPr="00F2639A">
        <w:rPr>
          <w:b/>
        </w:rPr>
        <w:t>Metachromatic</w:t>
      </w:r>
      <w:proofErr w:type="spellEnd"/>
      <w:r w:rsidR="006C5C38" w:rsidRPr="00F2639A">
        <w:rPr>
          <w:b/>
        </w:rPr>
        <w:t xml:space="preserve"> </w:t>
      </w:r>
      <w:proofErr w:type="spellStart"/>
      <w:r w:rsidRPr="000A129C">
        <w:rPr>
          <w:b/>
        </w:rPr>
        <w:t>Leukodystrophy</w:t>
      </w:r>
      <w:proofErr w:type="spellEnd"/>
      <w:r w:rsidRPr="000A129C">
        <w:rPr>
          <w:b/>
        </w:rPr>
        <w:t xml:space="preserve"> </w:t>
      </w:r>
      <w:proofErr w:type="spellStart"/>
      <w:r w:rsidRPr="000A129C">
        <w:rPr>
          <w:b/>
        </w:rPr>
        <w:t>initiative</w:t>
      </w:r>
      <w:proofErr w:type="spellEnd"/>
      <w:r w:rsidRPr="000A129C">
        <w:rPr>
          <w:b/>
        </w:rPr>
        <w:t xml:space="preserve"> (</w:t>
      </w:r>
      <w:proofErr w:type="spellStart"/>
      <w:r w:rsidRPr="000A129C">
        <w:rPr>
          <w:b/>
        </w:rPr>
        <w:t>MLDi</w:t>
      </w:r>
      <w:proofErr w:type="spellEnd"/>
      <w:r w:rsidRPr="000A129C">
        <w:rPr>
          <w:b/>
        </w:rPr>
        <w:t>)</w:t>
      </w:r>
    </w:p>
    <w:p w14:paraId="0E006AD1" w14:textId="77777777" w:rsidR="00D803CA" w:rsidRPr="009844CC" w:rsidRDefault="003F356A" w:rsidP="006522AB">
      <w:pPr>
        <w:spacing w:line="276" w:lineRule="auto"/>
      </w:pPr>
      <w:r w:rsidRPr="009844CC">
        <w:t>Daphne H. Schoenmakers</w:t>
      </w:r>
      <w:r w:rsidRPr="009844CC">
        <w:rPr>
          <w:vertAlign w:val="superscript"/>
        </w:rPr>
        <w:t>1,2,3</w:t>
      </w:r>
      <w:r w:rsidRPr="009844CC">
        <w:t>, Shanice Beerepoot</w:t>
      </w:r>
      <w:r w:rsidRPr="009844CC">
        <w:rPr>
          <w:vertAlign w:val="superscript"/>
        </w:rPr>
        <w:t>1,4,5</w:t>
      </w:r>
      <w:r w:rsidRPr="009844CC">
        <w:t>, Sibren van den Berg</w:t>
      </w:r>
      <w:r w:rsidRPr="009844CC">
        <w:rPr>
          <w:vertAlign w:val="superscript"/>
        </w:rPr>
        <w:t>2,3</w:t>
      </w:r>
      <w:r w:rsidRPr="009844CC">
        <w:t>, Laura Adang</w:t>
      </w:r>
      <w:r w:rsidRPr="009844CC">
        <w:rPr>
          <w:vertAlign w:val="superscript"/>
        </w:rPr>
        <w:t>6</w:t>
      </w:r>
      <w:r w:rsidRPr="009844CC">
        <w:t>, Annette Bley</w:t>
      </w:r>
      <w:r w:rsidRPr="009844CC">
        <w:rPr>
          <w:vertAlign w:val="superscript"/>
        </w:rPr>
        <w:t>7</w:t>
      </w:r>
      <w:r w:rsidR="000A129C" w:rsidRPr="009844CC">
        <w:t xml:space="preserve">, </w:t>
      </w:r>
      <w:r w:rsidRPr="009844CC">
        <w:t>Jaap</w:t>
      </w:r>
      <w:r w:rsidRPr="009844CC">
        <w:rPr>
          <w:rFonts w:ascii="Cambria Math" w:hAnsi="Cambria Math" w:cs="Cambria Math"/>
        </w:rPr>
        <w:t>‑</w:t>
      </w:r>
      <w:r w:rsidRPr="009844CC">
        <w:t>Jan Boelens</w:t>
      </w:r>
      <w:r w:rsidRPr="009844CC">
        <w:rPr>
          <w:vertAlign w:val="superscript"/>
        </w:rPr>
        <w:t>8</w:t>
      </w:r>
      <w:r w:rsidRPr="009844CC">
        <w:t>, Francesca Fumagalli</w:t>
      </w:r>
      <w:r w:rsidRPr="009844CC">
        <w:rPr>
          <w:vertAlign w:val="superscript"/>
        </w:rPr>
        <w:t>9</w:t>
      </w:r>
      <w:r w:rsidRPr="009844CC">
        <w:t>, Wim G. Goettsch</w:t>
      </w:r>
      <w:r w:rsidRPr="009844CC">
        <w:rPr>
          <w:vertAlign w:val="superscript"/>
        </w:rPr>
        <w:t>10,11</w:t>
      </w:r>
      <w:r w:rsidRPr="009844CC">
        <w:t>, Sabine Grønborg</w:t>
      </w:r>
      <w:r w:rsidRPr="009844CC">
        <w:rPr>
          <w:vertAlign w:val="superscript"/>
        </w:rPr>
        <w:t>12</w:t>
      </w:r>
      <w:r w:rsidRPr="009844CC">
        <w:t>, Samuel Groeschel</w:t>
      </w:r>
      <w:r w:rsidRPr="009844CC">
        <w:rPr>
          <w:vertAlign w:val="superscript"/>
        </w:rPr>
        <w:t>13</w:t>
      </w:r>
      <w:r w:rsidR="006C5C38" w:rsidRPr="009844CC">
        <w:t xml:space="preserve">, </w:t>
      </w:r>
      <w:r w:rsidRPr="009844CC">
        <w:t>Peter M. van Hasselt</w:t>
      </w:r>
      <w:r w:rsidRPr="009844CC">
        <w:rPr>
          <w:vertAlign w:val="superscript"/>
        </w:rPr>
        <w:t>14</w:t>
      </w:r>
      <w:r w:rsidRPr="009844CC">
        <w:t>, Carla E. M. Hollak</w:t>
      </w:r>
      <w:r w:rsidRPr="009844CC">
        <w:rPr>
          <w:vertAlign w:val="superscript"/>
        </w:rPr>
        <w:t>2,3</w:t>
      </w:r>
      <w:r w:rsidRPr="009844CC">
        <w:t>, Caroline Lindemans</w:t>
      </w:r>
      <w:r w:rsidRPr="009844CC">
        <w:rPr>
          <w:vertAlign w:val="superscript"/>
        </w:rPr>
        <w:t>5,15</w:t>
      </w:r>
      <w:r w:rsidRPr="009844CC">
        <w:t>, Fanny Mochel</w:t>
      </w:r>
      <w:r w:rsidRPr="009844CC">
        <w:rPr>
          <w:vertAlign w:val="superscript"/>
        </w:rPr>
        <w:t>16,17</w:t>
      </w:r>
      <w:r w:rsidRPr="009844CC">
        <w:t>, Peter G. M. Mol</w:t>
      </w:r>
      <w:r w:rsidRPr="009844CC">
        <w:rPr>
          <w:vertAlign w:val="superscript"/>
        </w:rPr>
        <w:t>18,19</w:t>
      </w:r>
      <w:r w:rsidR="006C5C38" w:rsidRPr="009844CC">
        <w:t xml:space="preserve">, </w:t>
      </w:r>
      <w:r w:rsidRPr="009844CC">
        <w:t>Caroline Sevin</w:t>
      </w:r>
      <w:r w:rsidRPr="009844CC">
        <w:rPr>
          <w:vertAlign w:val="superscript"/>
        </w:rPr>
        <w:t>20,21</w:t>
      </w:r>
      <w:r w:rsidRPr="009844CC">
        <w:t>, Ayelet Zerem</w:t>
      </w:r>
      <w:r w:rsidRPr="009844CC">
        <w:rPr>
          <w:vertAlign w:val="superscript"/>
        </w:rPr>
        <w:t>22,23</w:t>
      </w:r>
      <w:r w:rsidRPr="009844CC">
        <w:t>, Ludger Schöls</w:t>
      </w:r>
      <w:r w:rsidRPr="009844CC">
        <w:rPr>
          <w:vertAlign w:val="superscript"/>
        </w:rPr>
        <w:t>24,25</w:t>
      </w:r>
      <w:r w:rsidRPr="009844CC">
        <w:t xml:space="preserve"> and Nicole I. Wolf</w:t>
      </w:r>
      <w:r w:rsidRPr="009844CC">
        <w:rPr>
          <w:vertAlign w:val="superscript"/>
        </w:rPr>
        <w:t>1</w:t>
      </w:r>
      <w:r w:rsidRPr="009844CC">
        <w:t>*</w:t>
      </w:r>
    </w:p>
    <w:p w14:paraId="410E9291" w14:textId="77777777" w:rsidR="0075362A" w:rsidRPr="0075362A" w:rsidRDefault="0075362A" w:rsidP="006522AB">
      <w:pPr>
        <w:spacing w:line="276" w:lineRule="auto"/>
        <w:rPr>
          <w:rFonts w:cstheme="minorHAnsi"/>
        </w:rPr>
      </w:pPr>
      <w:r w:rsidRPr="0075362A">
        <w:rPr>
          <w:rFonts w:cstheme="minorHAnsi"/>
        </w:rPr>
        <w:t xml:space="preserve">Gepubliceerd: </w:t>
      </w:r>
      <w:hyperlink r:id="rId5" w:history="1">
        <w:r w:rsidR="005310E0" w:rsidRPr="004D2012">
          <w:rPr>
            <w:rStyle w:val="Hyperlink"/>
            <w:rFonts w:cstheme="minorHAnsi"/>
          </w:rPr>
          <w:t>https://doi.org/10.1186/s13023-022-02189-w</w:t>
        </w:r>
      </w:hyperlink>
      <w:r w:rsidR="005310E0">
        <w:rPr>
          <w:rFonts w:cstheme="minorHAnsi"/>
        </w:rPr>
        <w:t xml:space="preserve"> </w:t>
      </w:r>
    </w:p>
    <w:p w14:paraId="671998D1" w14:textId="77777777" w:rsidR="006C5C38" w:rsidRPr="00F2639A" w:rsidRDefault="003F356A" w:rsidP="006522AB">
      <w:pPr>
        <w:pStyle w:val="Lijstalinea"/>
        <w:numPr>
          <w:ilvl w:val="0"/>
          <w:numId w:val="1"/>
        </w:numPr>
        <w:spacing w:line="276" w:lineRule="auto"/>
      </w:pPr>
      <w:r w:rsidRPr="00F2639A">
        <w:t xml:space="preserve">Amsterdam </w:t>
      </w:r>
      <w:proofErr w:type="spellStart"/>
      <w:r w:rsidRPr="00F2639A">
        <w:t>Leukodystrophy</w:t>
      </w:r>
      <w:proofErr w:type="spellEnd"/>
      <w:r w:rsidRPr="00F2639A">
        <w:t xml:space="preserve"> Center, </w:t>
      </w:r>
      <w:proofErr w:type="spellStart"/>
      <w:r w:rsidRPr="00F2639A">
        <w:t>Depa</w:t>
      </w:r>
      <w:r w:rsidR="000A129C" w:rsidRPr="00F2639A">
        <w:t>rtment</w:t>
      </w:r>
      <w:proofErr w:type="spellEnd"/>
      <w:r w:rsidR="000A129C" w:rsidRPr="00F2639A">
        <w:t xml:space="preserve"> of Child Neurology, Emma </w:t>
      </w:r>
      <w:proofErr w:type="spellStart"/>
      <w:r w:rsidRPr="00F2639A">
        <w:t>Children’s</w:t>
      </w:r>
      <w:proofErr w:type="spellEnd"/>
      <w:r w:rsidRPr="00F2639A">
        <w:t xml:space="preserve"> </w:t>
      </w:r>
      <w:proofErr w:type="spellStart"/>
      <w:r w:rsidRPr="00F2639A">
        <w:t>Hospital</w:t>
      </w:r>
      <w:proofErr w:type="spellEnd"/>
      <w:r w:rsidRPr="00F2639A">
        <w:t>, Amsterdam University Medical Cen</w:t>
      </w:r>
      <w:r w:rsidR="000A129C" w:rsidRPr="00F2639A">
        <w:t xml:space="preserve">ters, Vrije Universiteit </w:t>
      </w:r>
      <w:r w:rsidRPr="00F2639A">
        <w:t xml:space="preserve">Amsterdam, Amsterdam </w:t>
      </w:r>
      <w:proofErr w:type="spellStart"/>
      <w:r w:rsidRPr="00F2639A">
        <w:t>Neuroscience</w:t>
      </w:r>
      <w:proofErr w:type="spellEnd"/>
      <w:r w:rsidRPr="00F2639A">
        <w:t xml:space="preserve">, Amsterdam, The Netherlands. </w:t>
      </w:r>
    </w:p>
    <w:p w14:paraId="5C088974" w14:textId="77777777" w:rsidR="006C5C38" w:rsidRPr="000A129C" w:rsidRDefault="000A129C" w:rsidP="006522AB">
      <w:pPr>
        <w:pStyle w:val="Lijstalinea"/>
        <w:numPr>
          <w:ilvl w:val="0"/>
          <w:numId w:val="1"/>
        </w:numPr>
        <w:spacing w:line="276" w:lineRule="auto"/>
        <w:rPr>
          <w:lang w:val="en-US"/>
        </w:rPr>
      </w:pPr>
      <w:r w:rsidRPr="000A129C">
        <w:rPr>
          <w:lang w:val="en-US"/>
        </w:rPr>
        <w:t xml:space="preserve">Department </w:t>
      </w:r>
      <w:r w:rsidR="003F356A" w:rsidRPr="000A129C">
        <w:rPr>
          <w:lang w:val="en-US"/>
        </w:rPr>
        <w:t>of Endocrinology and Metabolism, Amster</w:t>
      </w:r>
      <w:r w:rsidRPr="000A129C">
        <w:rPr>
          <w:lang w:val="en-US"/>
        </w:rPr>
        <w:t xml:space="preserve">dam University Medical Centers, </w:t>
      </w:r>
      <w:r w:rsidR="003F356A" w:rsidRPr="000A129C">
        <w:rPr>
          <w:lang w:val="en-US"/>
        </w:rPr>
        <w:t xml:space="preserve">Amsterdam, The Netherlands. </w:t>
      </w:r>
    </w:p>
    <w:p w14:paraId="4E8E06D3" w14:textId="77777777" w:rsidR="006C5C38" w:rsidRPr="000A129C" w:rsidRDefault="003F356A" w:rsidP="006522AB">
      <w:pPr>
        <w:pStyle w:val="Lijstalinea"/>
        <w:numPr>
          <w:ilvl w:val="0"/>
          <w:numId w:val="1"/>
        </w:numPr>
        <w:spacing w:line="276" w:lineRule="auto"/>
        <w:rPr>
          <w:lang w:val="en-US"/>
        </w:rPr>
      </w:pPr>
      <w:r w:rsidRPr="000A129C">
        <w:rPr>
          <w:lang w:val="en-US"/>
        </w:rPr>
        <w:t>Medicine for Society, Platform at Amsterdam</w:t>
      </w:r>
      <w:r w:rsidR="000A129C">
        <w:rPr>
          <w:lang w:val="en-US"/>
        </w:rPr>
        <w:t xml:space="preserve"> </w:t>
      </w:r>
      <w:r w:rsidRPr="000A129C">
        <w:rPr>
          <w:lang w:val="en-US"/>
        </w:rPr>
        <w:t xml:space="preserve">University Medical Centers, Amsterdam, The Netherlands. </w:t>
      </w:r>
    </w:p>
    <w:p w14:paraId="39A8A4C5" w14:textId="77777777" w:rsidR="006C5C38" w:rsidRPr="000A129C" w:rsidRDefault="003F356A" w:rsidP="006522AB">
      <w:pPr>
        <w:pStyle w:val="Lijstalinea"/>
        <w:numPr>
          <w:ilvl w:val="0"/>
          <w:numId w:val="1"/>
        </w:numPr>
        <w:spacing w:line="276" w:lineRule="auto"/>
        <w:rPr>
          <w:lang w:val="en-US"/>
        </w:rPr>
      </w:pPr>
      <w:r w:rsidRPr="000A129C">
        <w:rPr>
          <w:lang w:val="en-US"/>
        </w:rPr>
        <w:t>Center</w:t>
      </w:r>
      <w:r w:rsidR="000A129C">
        <w:rPr>
          <w:lang w:val="en-US"/>
        </w:rPr>
        <w:t xml:space="preserve"> </w:t>
      </w:r>
      <w:r w:rsidRPr="000A129C">
        <w:rPr>
          <w:lang w:val="en-US"/>
        </w:rPr>
        <w:t>for Translational Immunology, University Medical Center Utrecht, Utrecht,</w:t>
      </w:r>
      <w:r w:rsidR="000A129C">
        <w:rPr>
          <w:lang w:val="en-US"/>
        </w:rPr>
        <w:t xml:space="preserve"> </w:t>
      </w:r>
      <w:r w:rsidRPr="000A129C">
        <w:rPr>
          <w:lang w:val="en-US"/>
        </w:rPr>
        <w:t xml:space="preserve">The Netherlands. </w:t>
      </w:r>
    </w:p>
    <w:p w14:paraId="15C5E46C" w14:textId="77777777" w:rsidR="006C5C38" w:rsidRPr="000A129C" w:rsidRDefault="003F356A" w:rsidP="006522AB">
      <w:pPr>
        <w:pStyle w:val="Lijstalinea"/>
        <w:numPr>
          <w:ilvl w:val="0"/>
          <w:numId w:val="1"/>
        </w:numPr>
        <w:spacing w:line="276" w:lineRule="auto"/>
        <w:rPr>
          <w:lang w:val="en-US"/>
        </w:rPr>
      </w:pPr>
      <w:proofErr w:type="spellStart"/>
      <w:r w:rsidRPr="000A129C">
        <w:rPr>
          <w:lang w:val="en-US"/>
        </w:rPr>
        <w:t>Nierkens</w:t>
      </w:r>
      <w:proofErr w:type="spellEnd"/>
      <w:r w:rsidRPr="000A129C">
        <w:rPr>
          <w:lang w:val="en-US"/>
        </w:rPr>
        <w:t xml:space="preserve"> and </w:t>
      </w:r>
      <w:proofErr w:type="spellStart"/>
      <w:r w:rsidRPr="000A129C">
        <w:rPr>
          <w:lang w:val="en-US"/>
        </w:rPr>
        <w:t>Lindemans</w:t>
      </w:r>
      <w:proofErr w:type="spellEnd"/>
      <w:r w:rsidRPr="000A129C">
        <w:rPr>
          <w:lang w:val="en-US"/>
        </w:rPr>
        <w:t xml:space="preserve"> group, Princess </w:t>
      </w:r>
      <w:proofErr w:type="spellStart"/>
      <w:r w:rsidRPr="000A129C">
        <w:rPr>
          <w:lang w:val="en-US"/>
        </w:rPr>
        <w:t>Máxima</w:t>
      </w:r>
      <w:proofErr w:type="spellEnd"/>
      <w:r w:rsidRPr="000A129C">
        <w:rPr>
          <w:lang w:val="en-US"/>
        </w:rPr>
        <w:t xml:space="preserve"> Center</w:t>
      </w:r>
      <w:r w:rsidR="000A129C">
        <w:rPr>
          <w:lang w:val="en-US"/>
        </w:rPr>
        <w:t xml:space="preserve"> </w:t>
      </w:r>
      <w:r w:rsidRPr="000A129C">
        <w:rPr>
          <w:lang w:val="en-US"/>
        </w:rPr>
        <w:t xml:space="preserve">for pediatric oncology, Utrecht, The Netherlands. </w:t>
      </w:r>
    </w:p>
    <w:p w14:paraId="63D8C851" w14:textId="77777777" w:rsidR="006C5C38" w:rsidRPr="000A129C" w:rsidRDefault="003F356A" w:rsidP="006522AB">
      <w:pPr>
        <w:pStyle w:val="Lijstalinea"/>
        <w:numPr>
          <w:ilvl w:val="0"/>
          <w:numId w:val="1"/>
        </w:numPr>
        <w:spacing w:line="276" w:lineRule="auto"/>
        <w:rPr>
          <w:lang w:val="en-US"/>
        </w:rPr>
      </w:pPr>
      <w:r w:rsidRPr="000A129C">
        <w:rPr>
          <w:lang w:val="en-US"/>
        </w:rPr>
        <w:t>Div</w:t>
      </w:r>
      <w:r w:rsidR="006C5C38" w:rsidRPr="000A129C">
        <w:rPr>
          <w:lang w:val="en-US"/>
        </w:rPr>
        <w:t xml:space="preserve">ision of Neurology, </w:t>
      </w:r>
      <w:r w:rsidRPr="000A129C">
        <w:rPr>
          <w:lang w:val="en-US"/>
        </w:rPr>
        <w:t xml:space="preserve">Children’s Hospital of Philadelphia, Philadelphia, Pennsylvania, USA. </w:t>
      </w:r>
    </w:p>
    <w:p w14:paraId="0E89B767" w14:textId="77777777" w:rsidR="006C5C38" w:rsidRPr="000A129C" w:rsidRDefault="006C5C38" w:rsidP="006522AB">
      <w:pPr>
        <w:pStyle w:val="Lijstalinea"/>
        <w:numPr>
          <w:ilvl w:val="0"/>
          <w:numId w:val="1"/>
        </w:numPr>
        <w:spacing w:line="276" w:lineRule="auto"/>
        <w:rPr>
          <w:lang w:val="en-US"/>
        </w:rPr>
      </w:pPr>
      <w:r w:rsidRPr="000A129C">
        <w:rPr>
          <w:lang w:val="en-US"/>
        </w:rPr>
        <w:t xml:space="preserve">University </w:t>
      </w:r>
      <w:r w:rsidR="003F356A" w:rsidRPr="000A129C">
        <w:rPr>
          <w:lang w:val="en-US"/>
        </w:rPr>
        <w:t>Children’s Hospital, University Medical Center Hamburg Eppendorf, Hamburg,</w:t>
      </w:r>
      <w:r w:rsidR="000A129C">
        <w:rPr>
          <w:lang w:val="en-US"/>
        </w:rPr>
        <w:t xml:space="preserve"> </w:t>
      </w:r>
      <w:r w:rsidR="003F356A" w:rsidRPr="000A129C">
        <w:rPr>
          <w:lang w:val="en-US"/>
        </w:rPr>
        <w:t xml:space="preserve">Germany. </w:t>
      </w:r>
    </w:p>
    <w:p w14:paraId="544D9414" w14:textId="77777777" w:rsidR="006C5C38" w:rsidRPr="000A129C" w:rsidRDefault="003F356A" w:rsidP="006522AB">
      <w:pPr>
        <w:pStyle w:val="Lijstalinea"/>
        <w:numPr>
          <w:ilvl w:val="0"/>
          <w:numId w:val="1"/>
        </w:numPr>
        <w:spacing w:line="276" w:lineRule="auto"/>
        <w:rPr>
          <w:lang w:val="en-US"/>
        </w:rPr>
      </w:pPr>
      <w:r w:rsidRPr="000A129C">
        <w:rPr>
          <w:lang w:val="en-US"/>
        </w:rPr>
        <w:t>Stem Cell Transplantation and Cellula</w:t>
      </w:r>
      <w:r w:rsidR="000A129C" w:rsidRPr="000A129C">
        <w:rPr>
          <w:lang w:val="en-US"/>
        </w:rPr>
        <w:t xml:space="preserve">r Therapies Program, Department </w:t>
      </w:r>
      <w:r w:rsidRPr="000A129C">
        <w:rPr>
          <w:lang w:val="en-US"/>
        </w:rPr>
        <w:t>of Pediatrics, Memorial Sloan Ketter</w:t>
      </w:r>
      <w:r w:rsidR="000A129C" w:rsidRPr="000A129C">
        <w:rPr>
          <w:lang w:val="en-US"/>
        </w:rPr>
        <w:t xml:space="preserve">ing Cancer Center, New York, NY </w:t>
      </w:r>
      <w:r w:rsidRPr="000A129C">
        <w:rPr>
          <w:lang w:val="en-US"/>
        </w:rPr>
        <w:t xml:space="preserve">10065, USA. </w:t>
      </w:r>
    </w:p>
    <w:p w14:paraId="3F369CCE" w14:textId="77777777" w:rsidR="006C5C38" w:rsidRPr="000A129C" w:rsidRDefault="003F356A" w:rsidP="006522AB">
      <w:pPr>
        <w:pStyle w:val="Lijstalinea"/>
        <w:numPr>
          <w:ilvl w:val="0"/>
          <w:numId w:val="1"/>
        </w:numPr>
        <w:spacing w:line="276" w:lineRule="auto"/>
        <w:rPr>
          <w:lang w:val="en-US"/>
        </w:rPr>
      </w:pPr>
      <w:r w:rsidRPr="000A129C">
        <w:rPr>
          <w:lang w:val="en-US"/>
        </w:rPr>
        <w:t xml:space="preserve">San Raffaele Telethon Institute for </w:t>
      </w:r>
      <w:r w:rsidR="000A129C" w:rsidRPr="000A129C">
        <w:rPr>
          <w:lang w:val="en-US"/>
        </w:rPr>
        <w:t>Gene Therapy (SR-</w:t>
      </w:r>
      <w:proofErr w:type="spellStart"/>
      <w:r w:rsidR="000A129C" w:rsidRPr="000A129C">
        <w:rPr>
          <w:lang w:val="en-US"/>
        </w:rPr>
        <w:t>Tiget</w:t>
      </w:r>
      <w:proofErr w:type="spellEnd"/>
      <w:r w:rsidR="000A129C" w:rsidRPr="000A129C">
        <w:rPr>
          <w:lang w:val="en-US"/>
        </w:rPr>
        <w:t xml:space="preserve">); IRCCS, </w:t>
      </w:r>
      <w:r w:rsidRPr="000A129C">
        <w:rPr>
          <w:lang w:val="en-US"/>
        </w:rPr>
        <w:t xml:space="preserve">San Raffaele Scientific Institute, Milan, Italy. </w:t>
      </w:r>
    </w:p>
    <w:p w14:paraId="2D2A6700" w14:textId="77777777" w:rsidR="006C5C38" w:rsidRPr="000A129C" w:rsidRDefault="006C5C38" w:rsidP="006522AB">
      <w:pPr>
        <w:pStyle w:val="Lijstalinea"/>
        <w:numPr>
          <w:ilvl w:val="0"/>
          <w:numId w:val="1"/>
        </w:numPr>
        <w:spacing w:line="276" w:lineRule="auto"/>
        <w:rPr>
          <w:lang w:val="en-US"/>
        </w:rPr>
      </w:pPr>
      <w:proofErr w:type="spellStart"/>
      <w:r w:rsidRPr="000A129C">
        <w:rPr>
          <w:lang w:val="en-US"/>
        </w:rPr>
        <w:t>Zorginstituut</w:t>
      </w:r>
      <w:proofErr w:type="spellEnd"/>
      <w:r w:rsidRPr="000A129C">
        <w:rPr>
          <w:lang w:val="en-US"/>
        </w:rPr>
        <w:t xml:space="preserve"> Nederland (Dutch </w:t>
      </w:r>
      <w:r w:rsidR="003F356A" w:rsidRPr="000A129C">
        <w:rPr>
          <w:lang w:val="en-US"/>
        </w:rPr>
        <w:t xml:space="preserve">Health Care Institute), Diemen, The Netherlands. </w:t>
      </w:r>
    </w:p>
    <w:p w14:paraId="4EBE2E83" w14:textId="77777777" w:rsidR="003F356A" w:rsidRPr="000A129C" w:rsidRDefault="003F356A" w:rsidP="006522AB">
      <w:pPr>
        <w:pStyle w:val="Lijstalinea"/>
        <w:numPr>
          <w:ilvl w:val="0"/>
          <w:numId w:val="1"/>
        </w:numPr>
        <w:spacing w:line="276" w:lineRule="auto"/>
        <w:rPr>
          <w:lang w:val="en-US"/>
        </w:rPr>
      </w:pPr>
      <w:r w:rsidRPr="000A129C">
        <w:rPr>
          <w:lang w:val="en-US"/>
        </w:rPr>
        <w:t>D</w:t>
      </w:r>
      <w:r w:rsidR="000A129C" w:rsidRPr="000A129C">
        <w:rPr>
          <w:lang w:val="en-US"/>
        </w:rPr>
        <w:t xml:space="preserve">ivision of Pharmacoepidemiology </w:t>
      </w:r>
      <w:r w:rsidRPr="000A129C">
        <w:rPr>
          <w:lang w:val="en-US"/>
        </w:rPr>
        <w:t>and Clinical Pharmacology, Utrecht University, Utrecht, The Netherlands.</w:t>
      </w:r>
    </w:p>
    <w:p w14:paraId="710B2450" w14:textId="77777777" w:rsidR="000A129C" w:rsidRDefault="003F356A" w:rsidP="006522AB">
      <w:pPr>
        <w:pStyle w:val="Lijstalinea"/>
        <w:numPr>
          <w:ilvl w:val="0"/>
          <w:numId w:val="1"/>
        </w:numPr>
        <w:spacing w:line="276" w:lineRule="auto"/>
        <w:rPr>
          <w:lang w:val="en-US"/>
        </w:rPr>
      </w:pPr>
      <w:r w:rsidRPr="000A129C">
        <w:rPr>
          <w:lang w:val="en-US"/>
        </w:rPr>
        <w:t>Centre for Inherited Metabolic Disease</w:t>
      </w:r>
      <w:r w:rsidR="000A129C" w:rsidRPr="000A129C">
        <w:rPr>
          <w:lang w:val="en-US"/>
        </w:rPr>
        <w:t xml:space="preserve">s, Copenhagen University </w:t>
      </w:r>
      <w:r w:rsidRPr="000A129C">
        <w:rPr>
          <w:lang w:val="en-US"/>
        </w:rPr>
        <w:t>Hospital (</w:t>
      </w:r>
      <w:proofErr w:type="spellStart"/>
      <w:r w:rsidRPr="000A129C">
        <w:rPr>
          <w:lang w:val="en-US"/>
        </w:rPr>
        <w:t>Rigshospitalet</w:t>
      </w:r>
      <w:proofErr w:type="spellEnd"/>
      <w:r w:rsidRPr="000A129C">
        <w:rPr>
          <w:lang w:val="en-US"/>
        </w:rPr>
        <w:t>), Copenhagen, Denma</w:t>
      </w:r>
      <w:r w:rsidR="000A129C" w:rsidRPr="000A129C">
        <w:rPr>
          <w:lang w:val="en-US"/>
        </w:rPr>
        <w:t xml:space="preserve">rk. </w:t>
      </w:r>
    </w:p>
    <w:p w14:paraId="537D1144" w14:textId="77777777" w:rsidR="000A129C" w:rsidRPr="000A129C" w:rsidRDefault="000A129C" w:rsidP="006522AB">
      <w:pPr>
        <w:pStyle w:val="Lijstalinea"/>
        <w:numPr>
          <w:ilvl w:val="0"/>
          <w:numId w:val="1"/>
        </w:numPr>
        <w:spacing w:line="276" w:lineRule="auto"/>
        <w:rPr>
          <w:lang w:val="en-US"/>
        </w:rPr>
      </w:pPr>
      <w:r w:rsidRPr="000A129C">
        <w:rPr>
          <w:lang w:val="en-US"/>
        </w:rPr>
        <w:t xml:space="preserve">Department of Paediatric </w:t>
      </w:r>
      <w:r>
        <w:rPr>
          <w:lang w:val="en-US"/>
        </w:rPr>
        <w:t xml:space="preserve">Neurology and Developmental </w:t>
      </w:r>
      <w:r w:rsidR="003F356A" w:rsidRPr="000A129C">
        <w:rPr>
          <w:lang w:val="en-US"/>
        </w:rPr>
        <w:t xml:space="preserve">Medicine, </w:t>
      </w:r>
      <w:r w:rsidRPr="000A129C">
        <w:rPr>
          <w:lang w:val="en-US"/>
        </w:rPr>
        <w:t xml:space="preserve">University Children’s Hospital, </w:t>
      </w:r>
      <w:r w:rsidR="003F356A" w:rsidRPr="000A129C">
        <w:rPr>
          <w:lang w:val="en-US"/>
        </w:rPr>
        <w:t xml:space="preserve">Tübingen, Germany. </w:t>
      </w:r>
    </w:p>
    <w:p w14:paraId="000C2F74" w14:textId="77777777" w:rsidR="000A129C" w:rsidRPr="000A129C" w:rsidRDefault="003F356A" w:rsidP="006522AB">
      <w:pPr>
        <w:pStyle w:val="Lijstalinea"/>
        <w:numPr>
          <w:ilvl w:val="0"/>
          <w:numId w:val="1"/>
        </w:numPr>
        <w:spacing w:line="276" w:lineRule="auto"/>
        <w:rPr>
          <w:lang w:val="en-US"/>
        </w:rPr>
      </w:pPr>
      <w:r w:rsidRPr="000A129C">
        <w:rPr>
          <w:lang w:val="en-US"/>
        </w:rPr>
        <w:t>Department of Pediatric</w:t>
      </w:r>
      <w:r w:rsidR="000A129C" w:rsidRPr="000A129C">
        <w:rPr>
          <w:lang w:val="en-US"/>
        </w:rPr>
        <w:t xml:space="preserve"> Metabolic Diseases, Wilhelmina </w:t>
      </w:r>
      <w:r w:rsidRPr="000A129C">
        <w:rPr>
          <w:lang w:val="en-US"/>
        </w:rPr>
        <w:t>Children’s Hospital, University Medical Cent</w:t>
      </w:r>
      <w:r w:rsidR="000A129C" w:rsidRPr="000A129C">
        <w:rPr>
          <w:lang w:val="en-US"/>
        </w:rPr>
        <w:t xml:space="preserve">er Utrecht, Utrecht University, </w:t>
      </w:r>
      <w:r w:rsidRPr="000A129C">
        <w:rPr>
          <w:lang w:val="en-US"/>
        </w:rPr>
        <w:t xml:space="preserve">Utrecht, The Netherlands. </w:t>
      </w:r>
    </w:p>
    <w:p w14:paraId="6E852F22" w14:textId="77777777" w:rsidR="000A129C" w:rsidRPr="000A129C" w:rsidRDefault="003F356A" w:rsidP="006522AB">
      <w:pPr>
        <w:pStyle w:val="Lijstalinea"/>
        <w:numPr>
          <w:ilvl w:val="0"/>
          <w:numId w:val="1"/>
        </w:numPr>
        <w:spacing w:line="276" w:lineRule="auto"/>
        <w:rPr>
          <w:lang w:val="en-US"/>
        </w:rPr>
      </w:pPr>
      <w:r w:rsidRPr="000A129C">
        <w:rPr>
          <w:lang w:val="en-US"/>
        </w:rPr>
        <w:t xml:space="preserve">Department of Pediatrics, Wilhelmina </w:t>
      </w:r>
      <w:proofErr w:type="spellStart"/>
      <w:r w:rsidRPr="000A129C">
        <w:rPr>
          <w:lang w:val="en-US"/>
        </w:rPr>
        <w:t>Children’sHospital</w:t>
      </w:r>
      <w:proofErr w:type="spellEnd"/>
      <w:r w:rsidRPr="000A129C">
        <w:rPr>
          <w:lang w:val="en-US"/>
        </w:rPr>
        <w:t>, University Medical Center Utrecht, U</w:t>
      </w:r>
      <w:r w:rsidR="000A129C" w:rsidRPr="000A129C">
        <w:rPr>
          <w:lang w:val="en-US"/>
        </w:rPr>
        <w:t xml:space="preserve">trecht University, Utrecht, The </w:t>
      </w:r>
      <w:r w:rsidRPr="000A129C">
        <w:rPr>
          <w:lang w:val="en-US"/>
        </w:rPr>
        <w:t xml:space="preserve">Netherlands. </w:t>
      </w:r>
    </w:p>
    <w:p w14:paraId="066E1BD3" w14:textId="77777777" w:rsidR="000A129C" w:rsidRDefault="003F356A" w:rsidP="006522AB">
      <w:pPr>
        <w:pStyle w:val="Lijstalinea"/>
        <w:numPr>
          <w:ilvl w:val="0"/>
          <w:numId w:val="1"/>
        </w:numPr>
        <w:spacing w:line="276" w:lineRule="auto"/>
        <w:rPr>
          <w:lang w:val="en-US"/>
        </w:rPr>
      </w:pPr>
      <w:r w:rsidRPr="000A129C">
        <w:rPr>
          <w:lang w:val="en-US"/>
        </w:rPr>
        <w:t xml:space="preserve">INSERM U 1127, CNRS UMR 7225, Sorbonne </w:t>
      </w:r>
      <w:proofErr w:type="spellStart"/>
      <w:r w:rsidRPr="000A129C">
        <w:rPr>
          <w:lang w:val="en-US"/>
        </w:rPr>
        <w:t>Universités</w:t>
      </w:r>
      <w:proofErr w:type="spellEnd"/>
      <w:r w:rsidRPr="000A129C">
        <w:rPr>
          <w:lang w:val="en-US"/>
        </w:rPr>
        <w:t>, UPMC</w:t>
      </w:r>
      <w:r w:rsidR="000A129C" w:rsidRPr="000A129C">
        <w:rPr>
          <w:lang w:val="en-US"/>
        </w:rPr>
        <w:t xml:space="preserve"> </w:t>
      </w:r>
      <w:r w:rsidRPr="000A129C">
        <w:rPr>
          <w:lang w:val="en-US"/>
        </w:rPr>
        <w:t xml:space="preserve">Univ Paris 06 UMR S 1127, </w:t>
      </w:r>
      <w:proofErr w:type="spellStart"/>
      <w:r w:rsidRPr="000A129C">
        <w:rPr>
          <w:lang w:val="en-US"/>
        </w:rPr>
        <w:t>Institut</w:t>
      </w:r>
      <w:proofErr w:type="spellEnd"/>
      <w:r w:rsidRPr="000A129C">
        <w:rPr>
          <w:lang w:val="en-US"/>
        </w:rPr>
        <w:t xml:space="preserve"> du </w:t>
      </w:r>
      <w:proofErr w:type="spellStart"/>
      <w:r w:rsidRPr="000A129C">
        <w:rPr>
          <w:lang w:val="en-US"/>
        </w:rPr>
        <w:t>Cerveau</w:t>
      </w:r>
      <w:proofErr w:type="spellEnd"/>
      <w:r w:rsidRPr="000A129C">
        <w:rPr>
          <w:lang w:val="en-US"/>
        </w:rPr>
        <w:t xml:space="preserve"> Et de La </w:t>
      </w:r>
      <w:proofErr w:type="spellStart"/>
      <w:r w:rsidRPr="000A129C">
        <w:rPr>
          <w:lang w:val="en-US"/>
        </w:rPr>
        <w:t>Moelle</w:t>
      </w:r>
      <w:proofErr w:type="spellEnd"/>
      <w:r w:rsidRPr="000A129C">
        <w:rPr>
          <w:lang w:val="en-US"/>
        </w:rPr>
        <w:t xml:space="preserve"> </w:t>
      </w:r>
      <w:proofErr w:type="spellStart"/>
      <w:r w:rsidRPr="000A129C">
        <w:rPr>
          <w:lang w:val="en-US"/>
        </w:rPr>
        <w:t>Épinière</w:t>
      </w:r>
      <w:proofErr w:type="spellEnd"/>
      <w:r w:rsidRPr="000A129C">
        <w:rPr>
          <w:lang w:val="en-US"/>
        </w:rPr>
        <w:t>, ICM,</w:t>
      </w:r>
      <w:r w:rsidR="000A129C" w:rsidRPr="000A129C">
        <w:rPr>
          <w:lang w:val="en-US"/>
        </w:rPr>
        <w:t xml:space="preserve"> </w:t>
      </w:r>
      <w:r w:rsidRPr="000A129C">
        <w:rPr>
          <w:lang w:val="en-US"/>
        </w:rPr>
        <w:t xml:space="preserve">75013 Paris, France. </w:t>
      </w:r>
    </w:p>
    <w:p w14:paraId="492E2121" w14:textId="77777777" w:rsidR="000A129C" w:rsidRPr="000A129C" w:rsidRDefault="003F356A" w:rsidP="006522AB">
      <w:pPr>
        <w:pStyle w:val="Lijstalinea"/>
        <w:numPr>
          <w:ilvl w:val="0"/>
          <w:numId w:val="1"/>
        </w:numPr>
        <w:spacing w:line="276" w:lineRule="auto"/>
        <w:rPr>
          <w:lang w:val="en-US"/>
        </w:rPr>
      </w:pPr>
      <w:r w:rsidRPr="000A129C">
        <w:rPr>
          <w:lang w:val="en-US"/>
        </w:rPr>
        <w:t>Department of Genetics, Center for Neurometabolic Diseases,</w:t>
      </w:r>
      <w:r w:rsidR="000A129C" w:rsidRPr="000A129C">
        <w:rPr>
          <w:lang w:val="en-US"/>
        </w:rPr>
        <w:t xml:space="preserve"> </w:t>
      </w:r>
      <w:r w:rsidRPr="000A129C">
        <w:rPr>
          <w:lang w:val="en-US"/>
        </w:rPr>
        <w:t xml:space="preserve">AP-HP, La </w:t>
      </w:r>
      <w:proofErr w:type="spellStart"/>
      <w:r w:rsidRPr="000A129C">
        <w:rPr>
          <w:lang w:val="en-US"/>
        </w:rPr>
        <w:t>Pitié-Salpêtrière</w:t>
      </w:r>
      <w:proofErr w:type="spellEnd"/>
      <w:r w:rsidRPr="000A129C">
        <w:rPr>
          <w:lang w:val="en-US"/>
        </w:rPr>
        <w:t xml:space="preserve"> University Hospital, 47 Boulevard de </w:t>
      </w:r>
      <w:proofErr w:type="spellStart"/>
      <w:r w:rsidRPr="000A129C">
        <w:rPr>
          <w:lang w:val="en-US"/>
        </w:rPr>
        <w:t>l’Hôpital</w:t>
      </w:r>
      <w:proofErr w:type="spellEnd"/>
      <w:r w:rsidRPr="000A129C">
        <w:rPr>
          <w:lang w:val="en-US"/>
        </w:rPr>
        <w:t>,</w:t>
      </w:r>
      <w:r w:rsidR="000A129C" w:rsidRPr="000A129C">
        <w:rPr>
          <w:lang w:val="en-US"/>
        </w:rPr>
        <w:t xml:space="preserve"> </w:t>
      </w:r>
      <w:r w:rsidRPr="000A129C">
        <w:rPr>
          <w:lang w:val="en-US"/>
        </w:rPr>
        <w:t xml:space="preserve">75013 Paris, France. </w:t>
      </w:r>
    </w:p>
    <w:p w14:paraId="09B9C0AA" w14:textId="77777777" w:rsidR="000A129C" w:rsidRPr="000A129C" w:rsidRDefault="003F356A" w:rsidP="006522AB">
      <w:pPr>
        <w:pStyle w:val="Lijstalinea"/>
        <w:numPr>
          <w:ilvl w:val="0"/>
          <w:numId w:val="1"/>
        </w:numPr>
        <w:spacing w:line="276" w:lineRule="auto"/>
        <w:rPr>
          <w:lang w:val="en-US"/>
        </w:rPr>
      </w:pPr>
      <w:r w:rsidRPr="000A129C">
        <w:rPr>
          <w:lang w:val="en-US"/>
        </w:rPr>
        <w:t>Department of Clin</w:t>
      </w:r>
      <w:r w:rsidR="000A129C" w:rsidRPr="000A129C">
        <w:rPr>
          <w:lang w:val="en-US"/>
        </w:rPr>
        <w:t xml:space="preserve">ical Pharmacy and Pharmacology, </w:t>
      </w:r>
      <w:r w:rsidRPr="000A129C">
        <w:rPr>
          <w:lang w:val="en-US"/>
        </w:rPr>
        <w:t>University Medical Center Groningen, Universi</w:t>
      </w:r>
      <w:r w:rsidR="000A129C" w:rsidRPr="000A129C">
        <w:rPr>
          <w:lang w:val="en-US"/>
        </w:rPr>
        <w:t xml:space="preserve">ty of Groningen, Groningen, The </w:t>
      </w:r>
      <w:r w:rsidRPr="000A129C">
        <w:rPr>
          <w:lang w:val="en-US"/>
        </w:rPr>
        <w:t xml:space="preserve">Netherlands. </w:t>
      </w:r>
    </w:p>
    <w:p w14:paraId="3620ECC9" w14:textId="77777777" w:rsidR="003F356A" w:rsidRPr="000A129C" w:rsidRDefault="003F356A" w:rsidP="006522AB">
      <w:pPr>
        <w:pStyle w:val="Lijstalinea"/>
        <w:numPr>
          <w:ilvl w:val="0"/>
          <w:numId w:val="1"/>
        </w:numPr>
        <w:spacing w:line="276" w:lineRule="auto"/>
        <w:rPr>
          <w:lang w:val="en-US"/>
        </w:rPr>
      </w:pPr>
      <w:r w:rsidRPr="000A129C">
        <w:rPr>
          <w:lang w:val="en-US"/>
        </w:rPr>
        <w:lastRenderedPageBreak/>
        <w:t>Dutch Medicines Evaluation Board, Utrecht, The Netherlands.</w:t>
      </w:r>
    </w:p>
    <w:p w14:paraId="2828A93F" w14:textId="77777777" w:rsidR="000A129C" w:rsidRDefault="003F356A" w:rsidP="006522AB">
      <w:pPr>
        <w:pStyle w:val="Lijstalinea"/>
        <w:numPr>
          <w:ilvl w:val="0"/>
          <w:numId w:val="1"/>
        </w:numPr>
        <w:spacing w:line="276" w:lineRule="auto"/>
        <w:rPr>
          <w:lang w:val="en-US"/>
        </w:rPr>
      </w:pPr>
      <w:proofErr w:type="spellStart"/>
      <w:r w:rsidRPr="000A129C">
        <w:rPr>
          <w:lang w:val="en-US"/>
        </w:rPr>
        <w:t>NeuroGenCell</w:t>
      </w:r>
      <w:proofErr w:type="spellEnd"/>
      <w:r w:rsidRPr="000A129C">
        <w:rPr>
          <w:lang w:val="en-US"/>
        </w:rPr>
        <w:t xml:space="preserve">, </w:t>
      </w:r>
      <w:proofErr w:type="spellStart"/>
      <w:r w:rsidRPr="000A129C">
        <w:rPr>
          <w:lang w:val="en-US"/>
        </w:rPr>
        <w:t>Institut</w:t>
      </w:r>
      <w:proofErr w:type="spellEnd"/>
      <w:r w:rsidRPr="000A129C">
        <w:rPr>
          <w:lang w:val="en-US"/>
        </w:rPr>
        <w:t xml:space="preserve"> du </w:t>
      </w:r>
      <w:proofErr w:type="spellStart"/>
      <w:r w:rsidRPr="000A129C">
        <w:rPr>
          <w:lang w:val="en-US"/>
        </w:rPr>
        <w:t>Cerveau</w:t>
      </w:r>
      <w:proofErr w:type="spellEnd"/>
      <w:r w:rsidRPr="000A129C">
        <w:rPr>
          <w:lang w:val="en-US"/>
        </w:rPr>
        <w:t xml:space="preserve"> et de la</w:t>
      </w:r>
      <w:r w:rsidR="000A129C" w:rsidRPr="000A129C">
        <w:rPr>
          <w:lang w:val="en-US"/>
        </w:rPr>
        <w:t xml:space="preserve"> </w:t>
      </w:r>
      <w:proofErr w:type="spellStart"/>
      <w:r w:rsidR="000A129C" w:rsidRPr="000A129C">
        <w:rPr>
          <w:lang w:val="en-US"/>
        </w:rPr>
        <w:t>Moelle</w:t>
      </w:r>
      <w:proofErr w:type="spellEnd"/>
      <w:r w:rsidR="000A129C" w:rsidRPr="000A129C">
        <w:rPr>
          <w:lang w:val="en-US"/>
        </w:rPr>
        <w:t xml:space="preserve"> </w:t>
      </w:r>
      <w:proofErr w:type="spellStart"/>
      <w:r w:rsidR="000A129C" w:rsidRPr="000A129C">
        <w:rPr>
          <w:lang w:val="en-US"/>
        </w:rPr>
        <w:t>Épinière</w:t>
      </w:r>
      <w:proofErr w:type="spellEnd"/>
      <w:r w:rsidR="000A129C" w:rsidRPr="000A129C">
        <w:rPr>
          <w:lang w:val="en-US"/>
        </w:rPr>
        <w:t xml:space="preserve">, ICM, </w:t>
      </w:r>
      <w:proofErr w:type="spellStart"/>
      <w:r w:rsidR="000A129C" w:rsidRPr="000A129C">
        <w:rPr>
          <w:lang w:val="en-US"/>
        </w:rPr>
        <w:t>Inserm</w:t>
      </w:r>
      <w:proofErr w:type="spellEnd"/>
      <w:r w:rsidR="000A129C" w:rsidRPr="000A129C">
        <w:rPr>
          <w:lang w:val="en-US"/>
        </w:rPr>
        <w:t xml:space="preserve"> U </w:t>
      </w:r>
      <w:r w:rsidRPr="000A129C">
        <w:rPr>
          <w:lang w:val="en-US"/>
        </w:rPr>
        <w:t>1127, CNRS UMR 7225, Sorbonne Université, Pari</w:t>
      </w:r>
      <w:r w:rsidR="000A129C" w:rsidRPr="000A129C">
        <w:rPr>
          <w:lang w:val="en-US"/>
        </w:rPr>
        <w:t xml:space="preserve">s, France. </w:t>
      </w:r>
    </w:p>
    <w:p w14:paraId="3AF1A1A4" w14:textId="77777777" w:rsidR="000A129C" w:rsidRDefault="000A129C" w:rsidP="006522AB">
      <w:pPr>
        <w:pStyle w:val="Lijstalinea"/>
        <w:numPr>
          <w:ilvl w:val="0"/>
          <w:numId w:val="1"/>
        </w:numPr>
        <w:spacing w:line="276" w:lineRule="auto"/>
        <w:rPr>
          <w:lang w:val="en-US"/>
        </w:rPr>
      </w:pPr>
      <w:proofErr w:type="spellStart"/>
      <w:r w:rsidRPr="000A129C">
        <w:rPr>
          <w:lang w:val="en-US"/>
        </w:rPr>
        <w:t>Bicêtre</w:t>
      </w:r>
      <w:proofErr w:type="spellEnd"/>
      <w:r w:rsidRPr="000A129C">
        <w:rPr>
          <w:lang w:val="en-US"/>
        </w:rPr>
        <w:t xml:space="preserve"> Hospital, </w:t>
      </w:r>
      <w:proofErr w:type="spellStart"/>
      <w:r w:rsidR="003F356A" w:rsidRPr="000A129C">
        <w:rPr>
          <w:lang w:val="en-US"/>
        </w:rPr>
        <w:t>Neuropediatrics</w:t>
      </w:r>
      <w:proofErr w:type="spellEnd"/>
      <w:r w:rsidR="003F356A" w:rsidRPr="000A129C">
        <w:rPr>
          <w:lang w:val="en-US"/>
        </w:rPr>
        <w:t xml:space="preserve"> Unit, Le Kremlin </w:t>
      </w:r>
      <w:proofErr w:type="spellStart"/>
      <w:r w:rsidR="003F356A" w:rsidRPr="000A129C">
        <w:rPr>
          <w:lang w:val="en-US"/>
        </w:rPr>
        <w:t>Bicêtre</w:t>
      </w:r>
      <w:proofErr w:type="spellEnd"/>
      <w:r w:rsidR="003F356A" w:rsidRPr="000A129C">
        <w:rPr>
          <w:lang w:val="en-US"/>
        </w:rPr>
        <w:t>, Paris,</w:t>
      </w:r>
      <w:r w:rsidRPr="000A129C">
        <w:rPr>
          <w:lang w:val="en-US"/>
        </w:rPr>
        <w:t xml:space="preserve"> France. </w:t>
      </w:r>
    </w:p>
    <w:p w14:paraId="62D2DC8E" w14:textId="77777777" w:rsidR="000A129C" w:rsidRDefault="000A129C" w:rsidP="006522AB">
      <w:pPr>
        <w:pStyle w:val="Lijstalinea"/>
        <w:numPr>
          <w:ilvl w:val="0"/>
          <w:numId w:val="1"/>
        </w:numPr>
        <w:spacing w:line="276" w:lineRule="auto"/>
        <w:rPr>
          <w:lang w:val="en-US"/>
        </w:rPr>
      </w:pPr>
      <w:r w:rsidRPr="000A129C">
        <w:rPr>
          <w:lang w:val="en-US"/>
        </w:rPr>
        <w:t xml:space="preserve">Pediatric Neurology </w:t>
      </w:r>
      <w:r w:rsidR="003F356A" w:rsidRPr="000A129C">
        <w:rPr>
          <w:lang w:val="en-US"/>
        </w:rPr>
        <w:t xml:space="preserve">Institute, Tel-Aviv </w:t>
      </w:r>
      <w:proofErr w:type="spellStart"/>
      <w:r w:rsidR="003F356A" w:rsidRPr="000A129C">
        <w:rPr>
          <w:lang w:val="en-US"/>
        </w:rPr>
        <w:t>Sourasky</w:t>
      </w:r>
      <w:proofErr w:type="spellEnd"/>
      <w:r w:rsidR="003F356A" w:rsidRPr="000A129C">
        <w:rPr>
          <w:lang w:val="en-US"/>
        </w:rPr>
        <w:t xml:space="preserve"> Medical Center, Tel</w:t>
      </w:r>
      <w:r w:rsidR="003F356A" w:rsidRPr="000A129C">
        <w:rPr>
          <w:rFonts w:ascii="Cambria Math" w:hAnsi="Cambria Math" w:cs="Cambria Math"/>
          <w:lang w:val="en-US"/>
        </w:rPr>
        <w:t>‑</w:t>
      </w:r>
      <w:r w:rsidR="003F356A" w:rsidRPr="000A129C">
        <w:rPr>
          <w:lang w:val="en-US"/>
        </w:rPr>
        <w:t>A</w:t>
      </w:r>
      <w:r w:rsidRPr="000A129C">
        <w:rPr>
          <w:lang w:val="en-US"/>
        </w:rPr>
        <w:t xml:space="preserve">viv, Israel. </w:t>
      </w:r>
    </w:p>
    <w:p w14:paraId="4E641478" w14:textId="77777777" w:rsidR="000A129C" w:rsidRDefault="000A129C" w:rsidP="006522AB">
      <w:pPr>
        <w:pStyle w:val="Lijstalinea"/>
        <w:numPr>
          <w:ilvl w:val="0"/>
          <w:numId w:val="1"/>
        </w:numPr>
        <w:spacing w:line="276" w:lineRule="auto"/>
        <w:rPr>
          <w:lang w:val="en-US"/>
        </w:rPr>
      </w:pPr>
      <w:r w:rsidRPr="000A129C">
        <w:rPr>
          <w:lang w:val="en-US"/>
        </w:rPr>
        <w:t xml:space="preserve">Sackler Faculty </w:t>
      </w:r>
      <w:r w:rsidR="003F356A" w:rsidRPr="000A129C">
        <w:rPr>
          <w:lang w:val="en-US"/>
        </w:rPr>
        <w:t>of Medicine, Tel Aviv University, Tel</w:t>
      </w:r>
      <w:r w:rsidR="003F356A" w:rsidRPr="000A129C">
        <w:rPr>
          <w:rFonts w:ascii="Cambria Math" w:hAnsi="Cambria Math" w:cs="Cambria Math"/>
          <w:lang w:val="en-US"/>
        </w:rPr>
        <w:t>‑</w:t>
      </w:r>
      <w:r w:rsidR="003F356A" w:rsidRPr="000A129C">
        <w:rPr>
          <w:lang w:val="en-US"/>
        </w:rPr>
        <w:t>Aviv, Isr</w:t>
      </w:r>
      <w:r w:rsidRPr="000A129C">
        <w:rPr>
          <w:lang w:val="en-US"/>
        </w:rPr>
        <w:t xml:space="preserve">ael. </w:t>
      </w:r>
    </w:p>
    <w:p w14:paraId="7072141C" w14:textId="77777777" w:rsidR="000A129C" w:rsidRPr="000A129C" w:rsidRDefault="000A129C" w:rsidP="006522AB">
      <w:pPr>
        <w:pStyle w:val="Lijstalinea"/>
        <w:numPr>
          <w:ilvl w:val="0"/>
          <w:numId w:val="1"/>
        </w:numPr>
        <w:spacing w:line="276" w:lineRule="auto"/>
        <w:rPr>
          <w:lang w:val="en-US"/>
        </w:rPr>
      </w:pPr>
      <w:r w:rsidRPr="000A129C">
        <w:rPr>
          <w:lang w:val="en-US"/>
        </w:rPr>
        <w:t xml:space="preserve">Department of Neurology </w:t>
      </w:r>
      <w:r w:rsidR="003F356A" w:rsidRPr="000A129C">
        <w:rPr>
          <w:lang w:val="en-US"/>
        </w:rPr>
        <w:t xml:space="preserve">and </w:t>
      </w:r>
      <w:proofErr w:type="spellStart"/>
      <w:r w:rsidR="003F356A" w:rsidRPr="000A129C">
        <w:rPr>
          <w:lang w:val="en-US"/>
        </w:rPr>
        <w:t>Hertie</w:t>
      </w:r>
      <w:proofErr w:type="spellEnd"/>
      <w:r w:rsidR="003F356A" w:rsidRPr="000A129C">
        <w:rPr>
          <w:rFonts w:ascii="Cambria Math" w:hAnsi="Cambria Math" w:cs="Cambria Math"/>
          <w:lang w:val="en-US"/>
        </w:rPr>
        <w:t>‑</w:t>
      </w:r>
      <w:r w:rsidR="003F356A" w:rsidRPr="000A129C">
        <w:rPr>
          <w:lang w:val="en-US"/>
        </w:rPr>
        <w:t>Institute for Clinical Brain Research, University of T</w:t>
      </w:r>
      <w:r w:rsidR="003F356A" w:rsidRPr="000A129C">
        <w:rPr>
          <w:rFonts w:ascii="Calibri" w:hAnsi="Calibri" w:cs="Calibri"/>
          <w:lang w:val="en-US"/>
        </w:rPr>
        <w:t>ü</w:t>
      </w:r>
      <w:r w:rsidRPr="000A129C">
        <w:rPr>
          <w:lang w:val="en-US"/>
        </w:rPr>
        <w:t xml:space="preserve">bingen, </w:t>
      </w:r>
      <w:r w:rsidR="003F356A" w:rsidRPr="000A129C">
        <w:rPr>
          <w:lang w:val="en-US"/>
        </w:rPr>
        <w:t xml:space="preserve">72076 Tübingen, Germany. </w:t>
      </w:r>
    </w:p>
    <w:p w14:paraId="637A722D" w14:textId="77777777" w:rsidR="003F356A" w:rsidRPr="000A129C" w:rsidRDefault="003F356A" w:rsidP="006522AB">
      <w:pPr>
        <w:pStyle w:val="Lijstalinea"/>
        <w:numPr>
          <w:ilvl w:val="0"/>
          <w:numId w:val="1"/>
        </w:numPr>
        <w:spacing w:line="276" w:lineRule="auto"/>
        <w:rPr>
          <w:lang w:val="en-US"/>
        </w:rPr>
      </w:pPr>
      <w:r w:rsidRPr="000A129C">
        <w:rPr>
          <w:lang w:val="en-US"/>
        </w:rPr>
        <w:t>German Center of Neuro</w:t>
      </w:r>
      <w:r w:rsidR="000A129C" w:rsidRPr="000A129C">
        <w:rPr>
          <w:lang w:val="en-US"/>
        </w:rPr>
        <w:t xml:space="preserve">degenerative Diseases, </w:t>
      </w:r>
      <w:r w:rsidRPr="000A129C">
        <w:rPr>
          <w:lang w:val="en-US"/>
        </w:rPr>
        <w:t>72076 Tübingen, Germany.</w:t>
      </w:r>
    </w:p>
    <w:p w14:paraId="6B7B19DD" w14:textId="77777777" w:rsidR="004B636E" w:rsidRPr="00F2639A" w:rsidRDefault="007127C0" w:rsidP="006522AB">
      <w:pPr>
        <w:pStyle w:val="Geenafstand"/>
        <w:spacing w:line="276" w:lineRule="auto"/>
        <w:rPr>
          <w:lang w:val="en-US"/>
        </w:rPr>
      </w:pPr>
      <w:r w:rsidRPr="00F2639A">
        <w:rPr>
          <w:lang w:val="en-US"/>
        </w:rPr>
        <w:t xml:space="preserve"> </w:t>
      </w:r>
    </w:p>
    <w:p w14:paraId="6C9C143D" w14:textId="77777777" w:rsidR="004B636E" w:rsidRDefault="004B636E" w:rsidP="004B636E">
      <w:pPr>
        <w:pStyle w:val="Geenafstand"/>
        <w:spacing w:line="276" w:lineRule="auto"/>
      </w:pPr>
      <w:r w:rsidRPr="004B636E">
        <w:rPr>
          <w:b/>
        </w:rPr>
        <w:t>Inleiding</w:t>
      </w:r>
      <w:r>
        <w:t xml:space="preserve">: </w:t>
      </w:r>
      <w:r w:rsidR="0075362A">
        <w:t>Er komen</w:t>
      </w:r>
      <w:r>
        <w:t xml:space="preserve"> ​​nieuwe behandelingen voor </w:t>
      </w:r>
      <w:proofErr w:type="spellStart"/>
      <w:r>
        <w:t>metachromatische</w:t>
      </w:r>
      <w:proofErr w:type="spellEnd"/>
      <w:r>
        <w:t xml:space="preserve"> leukodystrofie (MLD), waardoor de behoefte aan een hoogwaardige </w:t>
      </w:r>
      <w:proofErr w:type="spellStart"/>
      <w:r>
        <w:t>onderzoeksinfrastructuur</w:t>
      </w:r>
      <w:proofErr w:type="spellEnd"/>
      <w:r>
        <w:t xml:space="preserve"> toeneemt </w:t>
      </w:r>
      <w:r w:rsidR="002D2E02">
        <w:t>om behandelingen te vergelijken en</w:t>
      </w:r>
      <w:r>
        <w:t xml:space="preserve"> postmarketingsurveillance en </w:t>
      </w:r>
      <w:r w:rsidR="002D2E02">
        <w:t xml:space="preserve">health </w:t>
      </w:r>
      <w:proofErr w:type="spellStart"/>
      <w:r w:rsidR="002D2E02">
        <w:t>technology</w:t>
      </w:r>
      <w:proofErr w:type="spellEnd"/>
      <w:r w:rsidR="002D2E02">
        <w:t xml:space="preserve"> assessments (HTA) </w:t>
      </w:r>
      <w:r>
        <w:t>uit te voeren.</w:t>
      </w:r>
      <w:r w:rsidR="005310E0">
        <w:t xml:space="preserve"> Daarom</w:t>
      </w:r>
      <w:r w:rsidR="002D2E02">
        <w:t xml:space="preserve"> startte een groep MLD-experts ‘</w:t>
      </w:r>
      <w:proofErr w:type="spellStart"/>
      <w:r w:rsidR="002D2E02">
        <w:t>the</w:t>
      </w:r>
      <w:proofErr w:type="spellEnd"/>
      <w:r w:rsidR="002D2E02">
        <w:t xml:space="preserve"> MLD </w:t>
      </w:r>
      <w:proofErr w:type="spellStart"/>
      <w:r w:rsidR="002D2E02">
        <w:t>initiative</w:t>
      </w:r>
      <w:proofErr w:type="spellEnd"/>
      <w:r w:rsidR="002D2E02">
        <w:t>’ (</w:t>
      </w:r>
      <w:proofErr w:type="spellStart"/>
      <w:r w:rsidR="002D2E02">
        <w:t>MLDi</w:t>
      </w:r>
      <w:proofErr w:type="spellEnd"/>
      <w:r w:rsidR="002D2E02">
        <w:t xml:space="preserve">), een academie geleid Europees MLD-register. </w:t>
      </w:r>
      <w:r>
        <w:t xml:space="preserve">In dit onderzoek hebben we bepaald welke </w:t>
      </w:r>
      <w:r w:rsidR="002D2E02">
        <w:t>data-elementen</w:t>
      </w:r>
      <w:r>
        <w:t xml:space="preserve"> nodig zijn om academische en </w:t>
      </w:r>
      <w:proofErr w:type="spellStart"/>
      <w:r w:rsidR="002D2E02">
        <w:t>regulatoire</w:t>
      </w:r>
      <w:proofErr w:type="spellEnd"/>
      <w:r>
        <w:t xml:space="preserve"> onderzoeksvragen te beantwoorden.</w:t>
      </w:r>
    </w:p>
    <w:p w14:paraId="3AC16A29" w14:textId="77777777" w:rsidR="004B636E" w:rsidRDefault="002D2E02" w:rsidP="004B636E">
      <w:pPr>
        <w:pStyle w:val="Geenafstand"/>
        <w:spacing w:line="276" w:lineRule="auto"/>
      </w:pPr>
      <w:r>
        <w:rPr>
          <w:b/>
        </w:rPr>
        <w:t>Methode</w:t>
      </w:r>
      <w:r w:rsidR="004B636E" w:rsidRPr="002D2E02">
        <w:rPr>
          <w:b/>
        </w:rPr>
        <w:t>:</w:t>
      </w:r>
      <w:r w:rsidR="004B636E">
        <w:t xml:space="preserve"> We </w:t>
      </w:r>
      <w:r w:rsidR="0075362A">
        <w:t>deden</w:t>
      </w:r>
      <w:r w:rsidR="004B636E">
        <w:t xml:space="preserve"> een </w:t>
      </w:r>
      <w:proofErr w:type="spellStart"/>
      <w:r>
        <w:t>modified</w:t>
      </w:r>
      <w:proofErr w:type="spellEnd"/>
      <w:r>
        <w:t>-</w:t>
      </w:r>
      <w:r w:rsidR="004B636E">
        <w:t>Delphi-procedure met 13 MLD-experts uit 11 centra wereldwijd. Een systematisch literatuuronderzoek en de raadpleging van belanghebbenden en patiënten dienden als input. 164 potentiële data-elementen werden beoordeeld en, indien opgenomen, toegewezen aan de verschillende sets data-elementen.</w:t>
      </w:r>
    </w:p>
    <w:p w14:paraId="2912866E" w14:textId="77777777" w:rsidR="002D2E02" w:rsidRDefault="004B636E" w:rsidP="002D2E02">
      <w:pPr>
        <w:pStyle w:val="Geenafstand"/>
        <w:spacing w:line="276" w:lineRule="auto"/>
      </w:pPr>
      <w:r w:rsidRPr="002D2E02">
        <w:rPr>
          <w:b/>
        </w:rPr>
        <w:t>Resultaten:</w:t>
      </w:r>
      <w:r>
        <w:t xml:space="preserve"> </w:t>
      </w:r>
      <w:r w:rsidR="002D2E02">
        <w:t>De minimale set</w:t>
      </w:r>
      <w:r w:rsidR="0075362A">
        <w:t xml:space="preserve"> (n=</w:t>
      </w:r>
      <w:r w:rsidR="002D2E02">
        <w:t>13) bevat demografische gegevens en basale z</w:t>
      </w:r>
      <w:r w:rsidR="0075362A">
        <w:t>iekte</w:t>
      </w:r>
      <w:r w:rsidR="005310E0">
        <w:t>karakteristieken</w:t>
      </w:r>
      <w:r w:rsidR="0075362A">
        <w:t xml:space="preserve">. De </w:t>
      </w:r>
      <w:proofErr w:type="spellStart"/>
      <w:r w:rsidR="0075362A">
        <w:t>kernset</w:t>
      </w:r>
      <w:proofErr w:type="spellEnd"/>
      <w:r w:rsidR="0075362A">
        <w:t xml:space="preserve"> (n=</w:t>
      </w:r>
      <w:r w:rsidR="002D2E02">
        <w:t xml:space="preserve">55) omvatte functionele statusscores </w:t>
      </w:r>
      <w:r w:rsidR="0075362A">
        <w:t>over</w:t>
      </w:r>
      <w:r w:rsidR="002D2E02">
        <w:t xml:space="preserve"> motorische, manuele, spraak- en eetvaardigheden</w:t>
      </w:r>
      <w:r w:rsidR="005310E0">
        <w:t xml:space="preserve">, </w:t>
      </w:r>
      <w:r w:rsidR="0075362A">
        <w:t>behandelkenmerken</w:t>
      </w:r>
      <w:r w:rsidR="005310E0">
        <w:t xml:space="preserve"> en k</w:t>
      </w:r>
      <w:r w:rsidR="0075362A">
        <w:t>waliteit-van-leven-</w:t>
      </w:r>
      <w:r w:rsidR="002D2E02">
        <w:t xml:space="preserve">vragenlijsten. De optionele set (n = 31) bevatte aanvullende klinische aspecten, zoals </w:t>
      </w:r>
      <w:r w:rsidR="0075362A">
        <w:t>het</w:t>
      </w:r>
      <w:r w:rsidR="002D2E02">
        <w:t xml:space="preserve"> neurologisch onderzoek en perifere neuropathie.</w:t>
      </w:r>
    </w:p>
    <w:p w14:paraId="46BBF424" w14:textId="77777777" w:rsidR="002D2E02" w:rsidRDefault="002D2E02" w:rsidP="002D2E02">
      <w:pPr>
        <w:pStyle w:val="Geenafstand"/>
        <w:spacing w:line="276" w:lineRule="auto"/>
      </w:pPr>
      <w:r>
        <w:rPr>
          <w:b/>
        </w:rPr>
        <w:t>Discussie</w:t>
      </w:r>
      <w:r>
        <w:t>: Met een ‘</w:t>
      </w:r>
      <w:proofErr w:type="spellStart"/>
      <w:r>
        <w:t>modified</w:t>
      </w:r>
      <w:proofErr w:type="spellEnd"/>
      <w:r>
        <w:t xml:space="preserve"> Delphi-procedure’ met artsen van de belangrijkste expertisecentra </w:t>
      </w:r>
      <w:r w:rsidR="0075362A">
        <w:t xml:space="preserve">is </w:t>
      </w:r>
      <w:r>
        <w:t xml:space="preserve">consensus bereikt op een </w:t>
      </w:r>
      <w:proofErr w:type="spellStart"/>
      <w:r>
        <w:t>kernset</w:t>
      </w:r>
      <w:proofErr w:type="spellEnd"/>
      <w:r>
        <w:t xml:space="preserve"> van gegevens die retrospectief en prospectief kunnen worden verzameld. </w:t>
      </w:r>
      <w:r w:rsidR="005310E0">
        <w:t>D</w:t>
      </w:r>
      <w:r>
        <w:t>eze consensusbenadering is een belangrijke stap op weg naar harmonisatie in het MLD-veld. Deze unieke dataset ondersteunt het genereren van kennis over de ziekte en faciliteert de toegang tot nieuwe behandelingen.</w:t>
      </w:r>
    </w:p>
    <w:p w14:paraId="3391DC2D" w14:textId="77777777" w:rsidR="004B636E" w:rsidRDefault="004B636E" w:rsidP="004B636E">
      <w:pPr>
        <w:pStyle w:val="Geenafstand"/>
        <w:spacing w:line="276" w:lineRule="auto"/>
      </w:pPr>
    </w:p>
    <w:sectPr w:rsidR="004B6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D6DF2"/>
    <w:multiLevelType w:val="hybridMultilevel"/>
    <w:tmpl w:val="4DDED1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0D"/>
    <w:rsid w:val="000A129C"/>
    <w:rsid w:val="00106BBD"/>
    <w:rsid w:val="002D2E02"/>
    <w:rsid w:val="003F356A"/>
    <w:rsid w:val="004B636E"/>
    <w:rsid w:val="005310E0"/>
    <w:rsid w:val="005808F9"/>
    <w:rsid w:val="005B0B42"/>
    <w:rsid w:val="006522AB"/>
    <w:rsid w:val="006C5C38"/>
    <w:rsid w:val="007127C0"/>
    <w:rsid w:val="0075362A"/>
    <w:rsid w:val="009844CC"/>
    <w:rsid w:val="00A32D0D"/>
    <w:rsid w:val="00C21519"/>
    <w:rsid w:val="00D803CA"/>
    <w:rsid w:val="00F2639A"/>
    <w:rsid w:val="00F27D5A"/>
    <w:rsid w:val="00F9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FC3A"/>
  <w15:chartTrackingRefBased/>
  <w15:docId w15:val="{A7925A97-7660-49F5-8B4C-006CB0E5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32D0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A129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186/s13023-022-02189-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Schoenmakers, D.H. (Daphne)</dc:creator>
  <cp:keywords/>
  <dc:description/>
  <cp:lastModifiedBy>Sival, DA</cp:lastModifiedBy>
  <cp:revision>2</cp:revision>
  <cp:lastPrinted>2022-03-08T10:23:00Z</cp:lastPrinted>
  <dcterms:created xsi:type="dcterms:W3CDTF">2022-03-08T10:23:00Z</dcterms:created>
  <dcterms:modified xsi:type="dcterms:W3CDTF">2022-03-08T10:23:00Z</dcterms:modified>
</cp:coreProperties>
</file>